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c>
          <w:tcPr>
            <w:tcW w:type="dxa" w:w="6200"/>
            <w:tcBorders>
              <w:top w:val="single" w:color="2E75B6" w:sz="4"/>
              <w:left w:val="single" w:color="2E75B6" w:sz="4"/>
              <w:bottom w:val="single" w:color="2E75B6" w:sz="4"/>
              <w:right w:val="single" w:color="2E75B6" w:sz="4"/>
            </w:tcBorders>
            <w:shd w:fill="1F4E79" w:val="clear"/>
            <w:tcMar>
              <w:top w:type="dxa" w:w="120"/>
              <w:left w:type="dxa" w:w="180"/>
              <w:bottom w:type="dxa" w:w="120"/>
              <w:right w:type="dxa" w:w="120"/>
            </w:tcMar>
            <w:vAlign w:val="center"/>
          </w:tcPr>
          <w:p>
            <w:pPr>
              <w:spacing w:after="20" w:before="40"/>
              <w:jc w:val="center"/>
            </w:pPr>
            <w:r>
              <w:rPr>
                <w:rFonts w:ascii="Arial" w:cs="Arial" w:eastAsia="Arial" w:hAnsi="Arial"/>
                <w:b/>
                <w:bCs/>
                <w:color w:val="FFFFFF"/>
                <w:sz w:val="26"/>
                <w:szCs w:val="26"/>
              </w:rPr>
              <w:t xml:space="preserve">10. SINIF BİYOLOJİ</w:t>
            </w:r>
          </w:p>
          <w:p>
            <w:pPr>
              <w:spacing w:after="40" w:before="20"/>
              <w:jc w:val="center"/>
            </w:pPr>
            <w:r>
              <w:rPr>
                <w:rFonts w:ascii="Arial" w:cs="Arial" w:eastAsia="Arial" w:hAnsi="Arial"/>
                <w:b/>
                <w:bCs/>
                <w:color w:val="FFFFFF"/>
                <w:sz w:val="22"/>
                <w:szCs w:val="22"/>
              </w:rPr>
              <w:t xml:space="preserve">ÇALIŞMA SORULARI</w:t>
            </w:r>
          </w:p>
        </w:tc>
        <w:tc>
          <w:tcPr>
            <w:tcW w:type="dxa" w:w="3160"/>
            <w:tcBorders>
              <w:top w:val="single" w:color="2E75B6" w:sz="4"/>
              <w:left w:val="single" w:color="2E75B6" w:sz="4"/>
              <w:bottom w:val="single" w:color="2E75B6" w:sz="4"/>
              <w:right w:val="single" w:color="2E75B6" w:sz="4"/>
            </w:tcBorders>
            <w:shd w:fill="2E75B6" w:val="clear"/>
            <w:tcMar>
              <w:top w:type="dxa" w:w="120"/>
              <w:left w:type="dxa" w:w="180"/>
              <w:bottom w:type="dxa" w:w="120"/>
              <w:right w:type="dxa" w:w="120"/>
            </w:tcMar>
            <w:vAlign w:val="center"/>
          </w:tcPr>
          <w:p>
            <w:pPr>
              <w:spacing w:after="20" w:before="40"/>
              <w:jc w:val="center"/>
            </w:pPr>
            <w:r>
              <w:rPr>
                <w:rFonts w:ascii="Arial" w:cs="Arial" w:eastAsia="Arial" w:hAnsi="Arial"/>
                <w:b/>
                <w:bCs/>
                <w:color w:val="FFFFFF"/>
                <w:sz w:val="26"/>
                <w:szCs w:val="26"/>
              </w:rPr>
              <w:t xml:space="preserve">SENARYO 9</w:t>
            </w:r>
          </w:p>
          <w:p>
            <w:pPr>
              <w:spacing w:after="40" w:before="20"/>
              <w:jc w:val="center"/>
            </w:pPr>
            <w:r>
              <w:rPr>
                <w:rFonts w:ascii="Arial" w:cs="Arial" w:eastAsia="Arial" w:hAnsi="Arial"/>
                <w:b w:val="false"/>
                <w:bCs w:val="false"/>
                <w:color w:val="FFFFFF"/>
                <w:sz w:val="18"/>
                <w:szCs w:val="18"/>
              </w:rPr>
              <w:t xml:space="preserve">TEMA 2: EKOLOJİ</w:t>
            </w:r>
          </w:p>
        </w:tc>
      </w:tr>
    </w:tbl>
    <w:p>
      <w:pPr>
        <w:spacing w:after="160" w:before="100"/>
        <w:jc w:val="left"/>
      </w:pPr>
      <w:r>
        <w:rPr>
          <w:rFonts w:ascii="Arial" w:cs="Arial" w:eastAsia="Arial" w:hAnsi="Arial"/>
          <w:sz w:val="20"/>
          <w:szCs w:val="20"/>
        </w:rPr>
        <w:t xml:space="preserve">📌 </w:t>
      </w:r>
      <w:r>
        <w:rPr>
          <w:rFonts w:ascii="Arial" w:cs="Arial" w:eastAsia="Arial" w:hAnsi="Arial"/>
          <w:i/>
          <w:iCs/>
          <w:color w:val="595959"/>
          <w:sz w:val="18"/>
          <w:szCs w:val="18"/>
        </w:rPr>
        <w:t xml:space="preserve">Tüm sorular MEB Maarif müfredatı ve 10. Sınıf Biyoloji Ders Kitabı esas alınarak hazırlanmıştır. Sorular açık uçlu sorgulama becerilerini ölçmektedir.</w:t>
      </w:r>
    </w:p>
    <w:p>
      <w:pPr>
        <w:spacing w:after="100" w:before="240"/>
      </w:pPr>
      <w:r>
        <w:rPr>
          <w:rFonts w:ascii="Arial" w:cs="Arial" w:eastAsia="Arial" w:hAnsi="Arial"/>
          <w:b/>
          <w:bCs/>
          <w:color w:val="1F4E79"/>
          <w:sz w:val="24"/>
          <w:szCs w:val="24"/>
        </w:rPr>
        <w:t xml:space="preserve">BÖLÜM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BİY.10.2.1</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Ekosistemin cansız ve canlı bileşenleri arasındaki ilişkileri çözümleyebilme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1. </w:t>
      </w:r>
      <w:r>
        <w:rPr>
          <w:rFonts w:ascii="Arial" w:cs="Arial" w:eastAsia="Arial" w:hAnsi="Arial"/>
          <w:b w:val="false"/>
          <w:bCs w:val="false"/>
          <w:color w:val="000000"/>
          <w:sz w:val="22"/>
          <w:szCs w:val="22"/>
        </w:rPr>
        <w:t xml:space="preserve">Türkiye'nin güneyinde yer alan Köyceğiz-Dalyan Özel Çevre Koruma Bölgesi; tatlı su gölü, deniz bağlantısı, kıyı sazlıkları ve kum plajlarını aynı anda barındıran eşsiz bir ekosistemdir. Bu çok bileşenli yapı, bölgede hem deniz hem de kara ekosisteminin cansız ve canlı unsurlarının iç içe geçmesine zemin hazırlamaktadır. (a) Bu ekosistemdeki en az dört farklı cansız bileşeni belirleyiniz ve her birinin canlı bileşenlerle nasıl etkileşime girdiğini açıklayınız. (b) Deniz kaplumbağası (Caretta caretta) ile üreme alanı olan kumsal arasındaki ilişkiyi cansız bileşenler açısından yorumlayınız. Kumsal sıcaklığının kuluçka başarısına etkisini de dahil ediniz. (c) Bu ekosistemde canlı bileşenler arasındaki üretici–tüketici–ayrıştırıcı ilişkisi besin ağını nasıl şekillendirir?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(Cansız-canlı bileşen ilişkileri — Köyceğiz-Dalyan ekosistemi):</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BİY.10.2.3</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Ekosistemdeki enerji akışıyla ilgili tümevarımsal akıl yürütebilme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2. </w:t>
      </w:r>
      <w:r>
        <w:rPr>
          <w:rFonts w:ascii="Arial" w:cs="Arial" w:eastAsia="Arial" w:hAnsi="Arial"/>
          <w:b w:val="false"/>
          <w:bCs w:val="false"/>
          <w:color w:val="000000"/>
          <w:sz w:val="22"/>
          <w:szCs w:val="22"/>
        </w:rPr>
        <w:t xml:space="preserve">Karadeniz'de son yıllarda ötrofikasyon (aşırı besin tuzları birikimi) nedeniyle fitoplankton patlamaları yaşanmakta ve bu durum besin ağını derinden etkilemektedir. Söz konusu ekosistemde şu besin zinciri tanımlanmıştır: Fitoplankton → Zooplankton → Hamsi → Yunus → Ölü organik madde → Ayrıştırıcı bakteri. (a) Ötrofikasyon sonucu fitoplankton sayısı aşırı artarsa zooplankton ve hamsi popülasyonlarında ne değişimler beklenir? Tümevarımsal bir akıl yürütme yapınız. (b) Enerji piramidi açısından: fitoplanktondan yunusa geçen enerji yüzdesini %10 kuralına göre hesaplayınız ve bu sonucun ekolojik anlamını yorumlayınız. (c) Karadeniz'e tarımsal gübre sızıntısı arttığında biyolojik birikim açısından en fazla hangi trofik basamak etkilenir? Tümevarımsal gerekçenizle yanıtlayınız.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(Enerji akışı, ötrofikasyon ve tümevarımsal akıl yürütme):</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BİY.10.2.5</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Ekolojik sürdürülebilirliğin önemini yorumlayabilme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3. </w:t>
      </w:r>
      <w:r>
        <w:rPr>
          <w:rFonts w:ascii="Arial" w:cs="Arial" w:eastAsia="Arial" w:hAnsi="Arial"/>
          <w:b w:val="false"/>
          <w:bCs w:val="false"/>
          <w:color w:val="000000"/>
          <w:sz w:val="22"/>
          <w:szCs w:val="22"/>
        </w:rPr>
        <w:t xml:space="preserve">Türkiye'nin İç Anadolu'sunda yer alan Tuz Gölü, Ramsar Sözleşmesi kapsamında koruma altındaki sulak alanların en önemlilerinden biridir. Gölün yüzeyi son 20 yılda yaklaşık üçte bir oranında küçülmüştür. Bunda iklim değişikliği, aşırı yer altı suyu çekimi ve tarımsal sulama etkili olmaktadır. (a) Ekolojik sürdürülebilirlik kavramını Brundtland Raporu'nun tanımına dayandırarak açıklayınız ve Tuz Gölü'nün küçülmesini bu kavramla ilişkilendiriniz. (b) Tuz Gölü'nün tamamen kurumasının kısa vadeli (0-10 yıl) ve uzun vadeli (10-50 yıl) ekolojik sonuçlarını ayrı ayrı değerlendiriniz; flamingo gibi endemik türlerin akıbetini de dahil ediniz. (c) Sürdürülebilir Kalkınma Hedefleri (SKH) çerçevesinde bu gölü korumak için hangi politika araçları uygulanabilir?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(Ekolojik sürdürülebilirlik — Tuz Gölü örneği):</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BİY.10.2.6</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Çevresinde sürdürülebilirliği kısıtlayan durumlarla ilgili gözleme dayalı tahmin yapabilme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4. </w:t>
      </w:r>
      <w:r>
        <w:rPr>
          <w:rFonts w:ascii="Arial" w:cs="Arial" w:eastAsia="Arial" w:hAnsi="Arial"/>
          <w:b w:val="false"/>
          <w:bCs w:val="false"/>
          <w:color w:val="000000"/>
          <w:sz w:val="22"/>
          <w:szCs w:val="22"/>
        </w:rPr>
        <w:t xml:space="preserve">2021 yılında Marmara Denizi'nde yaşanan deniz salyası (müsilaj) olayı, binlerce kilometrekare deniz yüzeyini kaplamış ve deniz canlılarını ciddi biçimde etkilemiştir. Araştırmalar, olayın arka planında kentsel ve tarımsal atık sulardan kaynaklanan azot ve fosfor yüklemesinin yattığını göstermiştir. (a) Müsilajın oluşum mekanizmasını ötrofikasyon-algal büyüme-oksijen tükenmesi zinciri üzerinden açıklayınız. (b) Bu olayın ekolojik sürdürülebilirliği kısıtladığını; habitat kaybı, biyoçeşitlilik kaybı ve su kirliliği başlıkları altında gözleme dayalı bir tahminle değerlendiriniz. (c) Benzer bir çevre tahribatının tekrar yaşanmaması için biyoremediasyon dahil en az iki bilimsel çözüm yöntemi öneriniz ve her birinin gerekçesini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(Müsilaj — sürdürülebilirliği kısıtlayan durum ve gözleme dayalı tahmin):</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BİY.10.2.7</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Ekolojik ayak izini küçültebilme yollarını bilimsel olarak sorgulayabilme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5. </w:t>
      </w:r>
      <w:r>
        <w:rPr>
          <w:rFonts w:ascii="Arial" w:cs="Arial" w:eastAsia="Arial" w:hAnsi="Arial"/>
          <w:b w:val="false"/>
          <w:bCs w:val="false"/>
          <w:color w:val="000000"/>
          <w:sz w:val="22"/>
          <w:szCs w:val="22"/>
        </w:rPr>
        <w:t xml:space="preserve">Bir araştırmaya göre Türkiye'de kişi başına düşen yıllık su tüketimi yaklaşık 1.500 m³ iken küresel ortalama 800 m³ civarındadır. Su ayak izi; tarımsal, evsel ve endüstriyel su kullanımının toplamını kapsamaktadır ve özellikle hayvansal gıda üretiminde yoğunlaşmaktadır. (a) Su ayak izi kavramını bilimsel olarak tanımlayınız; mavi, yeşil ve gri su bileşenlerini örneklerle açıklayınız. (b) Bir öğrencinin günlük 500 ml süt tüketmesinin su ayak izine katkısını tahmin ediniz (1 litre süt için yaklaşık 1.000 litre su gerektiği bilinmektedir); bu tüketimi azaltmanın ekolojik gerekçesini madde döngüleriyle ilişkilendiriniz. (c) Okulunuzun su ayak izini küçültmek için bilimsel temele dayanan iki somut uygulama önerin ve her birinin beklenen etkisini nicel ya da nitel olarak tahmin ediniz.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(Su ayak izi analizi ve bilimsel öneriler):</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BİY.10.2.7</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Ekolojik ayak izini küçültebilme yollarını bilimsel olarak sorgulayabilme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6. </w:t>
      </w:r>
      <w:r>
        <w:rPr>
          <w:rFonts w:ascii="Arial" w:cs="Arial" w:eastAsia="Arial" w:hAnsi="Arial"/>
          <w:b w:val="false"/>
          <w:bCs w:val="false"/>
          <w:color w:val="000000"/>
          <w:sz w:val="22"/>
          <w:szCs w:val="22"/>
        </w:rPr>
        <w:t xml:space="preserve">Türkiye'de kişisel tüketim kaynaklı ekolojik ayak izinin %82'sini oluşturan en büyük bileşen gıdadır. Bununla birlikte tekstil sektörü de ciddi bir ekolojik baskı kaynağıdır: 1 kg pamuk kumaş üretmek için yaklaşık 10.000 litre su ve önemli miktarda tarım ilacı kullanılmaktadır. (a) Hızlı moda (fast fashion) anlayışının ekolojik ayak izi üzerindeki etkisini; karbon, su ve toprak bileşenleri açısından sorgulayınız. (b) İkinci el giysi kullanımı veya takas ekonomisinin ekolojik ayak izini nasıl küçülteceğini madde döngüleri ve enerji akışı bağlamında açıklayınız. (c) Sınıfınızda yürütebileceğiniz, ekolojik ayak izini somut biçimde küçülten ve bilimsel olarak ölçülebilen bir proje tasarısı geliştirin; projenin ekolojik etkisini tahmin ediniz.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(Tekstil sektörü-ekolojik ayak izi ve proje tasarısı):</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BİY.10.2.8</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Doğal kaynakların ve biyoçeşitliliğin korunması için alınan önlemleri sorgulayabilme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7. </w:t>
      </w:r>
      <w:r>
        <w:rPr>
          <w:rFonts w:ascii="Arial" w:cs="Arial" w:eastAsia="Arial" w:hAnsi="Arial"/>
          <w:b w:val="false"/>
          <w:bCs w:val="false"/>
          <w:color w:val="000000"/>
          <w:sz w:val="22"/>
          <w:szCs w:val="22"/>
        </w:rPr>
        <w:t xml:space="preserve">Türkiye, Avrupa ve Orta Doğu'nun en zengin biyoçeşitliliğine sahip ülkesi konumundadır; 3.496 endemik bitki türü ile Avrupa'nın toplam bitki tür sayısına yaklaşan bir flora zenginliğine sahiptir. Ancak bu zenginlik; kentleşme, tarım arazisi açma ve iklim değişikliği gibi tehditlerle karşı karşıyadır. (a) Türkiye'de uygulanan tür koruma, alan koruma (yerinde koruma) ve alan dışı koruma (ex-situ) çalışmalarını birer somut örnekle karşılaştırınız. (b) Şanlıurfa-Birecik'teki Kelaynak koruma programının başarısını; taşıma kapasitesi, biyotik potansiyel ve çevre direnci kavramlarıyla sorgulayınız. (c) Endemik bir bitki türünün habitatı olan bir dağ merası turistik amaçla yapılaşmaya açılacaksa bu kararın biyoçeşitlilik açısından olası sonuçlarını bilimsel olarak değerlendiriniz ve CITES/Ramsar gibi uluslararası sözleşmeler bağlamında tartışınız.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(Biyoçeşitlilik koruma önlemleri — Türkiye örneği):</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80" w:before="0"/>
      </w:pPr>
      <w:r>
        <w:rPr>
          <w:rFonts w:ascii="Arial" w:cs="Arial" w:eastAsia="Arial" w:hAnsi="Arial"/>
          <w:sz w:val="22"/>
          <w:szCs w:val="22"/>
        </w:rPr>
        <w:t xml:space="preserve"/>
      </w:r>
    </w:p>
    <w:p>
      <w:pPr>
        <w:spacing w:after="100" w:before="240"/>
      </w:pPr>
      <w:r>
        <w:rPr>
          <w:rFonts w:ascii="Arial" w:cs="Arial" w:eastAsia="Arial" w:hAnsi="Arial"/>
          <w:b/>
          <w:bCs/>
          <w:color w:val="1F4E79"/>
          <w:sz w:val="24"/>
          <w:szCs w:val="24"/>
        </w:rPr>
        <w:t xml:space="preserve">BÖLÜM 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75B6" w:sz="4"/>
              <w:left w:val="single" w:color="2E75B6" w:sz="4"/>
              <w:bottom w:val="single" w:color="2E75B6" w:sz="4"/>
              <w:right w:val="single" w:color="2E75B6" w:sz="4"/>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BİY.10.2.9</w:t>
            </w:r>
          </w:p>
        </w:tc>
        <w:tc>
          <w:tcPr>
            <w:tcW w:type="dxa" w:w="7560"/>
            <w:tcBorders>
              <w:top w:val="single" w:color="2E75B6" w:sz="4"/>
              <w:left w:val="single" w:color="2E75B6" w:sz="4"/>
              <w:bottom w:val="single" w:color="2E75B6" w:sz="4"/>
              <w:right w:val="single" w:color="2E75B6" w:sz="4"/>
            </w:tcBorders>
            <w:shd w:fill="BDD7EE" w:val="clear"/>
            <w:tcMar>
              <w:top w:type="dxa" w:w="80"/>
              <w:left w:type="dxa" w:w="120"/>
              <w:bottom w:type="dxa" w:w="80"/>
              <w:right w:type="dxa" w:w="120"/>
            </w:tcMar>
            <w:vAlign w:val="center"/>
          </w:tcPr>
          <w:p>
            <w:r>
              <w:rPr>
                <w:rFonts w:ascii="Arial" w:cs="Arial" w:eastAsia="Arial" w:hAnsi="Arial"/>
                <w:b/>
                <w:bCs/>
                <w:color w:val="1F4E79"/>
                <w:sz w:val="20"/>
                <w:szCs w:val="20"/>
              </w:rPr>
              <w:t xml:space="preserve">Kazanım: </w:t>
            </w:r>
            <w:r>
              <w:rPr>
                <w:rFonts w:ascii="Arial" w:cs="Arial" w:eastAsia="Arial" w:hAnsi="Arial"/>
                <w:b w:val="false"/>
                <w:bCs w:val="false"/>
                <w:color w:val="000000"/>
                <w:sz w:val="20"/>
                <w:szCs w:val="20"/>
              </w:rPr>
              <w:t xml:space="preserve">Çevresinde atık yönetimi konusunda yapılan çalışmalarla ilgili bilgi toplayabilme</w:t>
            </w:r>
          </w:p>
        </w:tc>
      </w:tr>
    </w:tbl>
    <w:p>
      <w:pPr>
        <w:spacing w:after="80" w:before="0"/>
      </w:pPr>
      <w:r>
        <w:rPr>
          <w:rFonts w:ascii="Arial" w:cs="Arial" w:eastAsia="Arial" w:hAnsi="Arial"/>
          <w:sz w:val="22"/>
          <w:szCs w:val="22"/>
        </w:rPr>
        <w:t xml:space="preserve"/>
      </w:r>
    </w:p>
    <w:p>
      <w:pPr>
        <w:spacing w:after="80" w:before="120"/>
      </w:pPr>
      <w:r>
        <w:rPr>
          <w:rFonts w:ascii="Arial" w:cs="Arial" w:eastAsia="Arial" w:hAnsi="Arial"/>
          <w:b/>
          <w:bCs/>
          <w:color w:val="000000"/>
          <w:sz w:val="22"/>
          <w:szCs w:val="22"/>
        </w:rPr>
        <w:t xml:space="preserve">Soru 8. </w:t>
      </w:r>
      <w:r>
        <w:rPr>
          <w:rFonts w:ascii="Arial" w:cs="Arial" w:eastAsia="Arial" w:hAnsi="Arial"/>
          <w:b w:val="false"/>
          <w:bCs w:val="false"/>
          <w:color w:val="000000"/>
          <w:sz w:val="22"/>
          <w:szCs w:val="22"/>
        </w:rPr>
        <w:t xml:space="preserve">Birleşmiş Milletler verilerine göre kişi başına yıllık 7,3 kg elektronik atık (e-atık) üretilmekte; bu miktarın 2030'da 74,7 megatona ulaşacağı öngörülmektedir. Türkiye'de yürütülen Sıfır Atık Projesi ile geri kazanım oranı 2021 yılında %27,2'ye yükselmiştir. (a) E-atıkların içerdiği cıva, kurşun ve kadmiyum gibi ağır metallerin ekosisteme ve insan sağlığına etkilerini besin zinciri ve biyolojik birikim kavramlarıyla açıklayınız. (b) Sıfır Atık Projesi'nin temel ilkelerini (önleme, azaltma, yeniden kullanım, geri dönüşüm, geri kazanım) ekolojik ayak izi ve madde döngüleri açısından yorumlayınız. (c) Okulunuzda uygulanabilecek, e-atıkları ve günlük atıkları kapsayan bir atık yönetim planı tasarısı oluşturunuz; bu planın ekolojik sürdürülebilirliğe katkısını bilimsel gerekçelerle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80"/>
              <w:left w:type="dxa" w:w="160"/>
              <w:bottom w:type="dxa" w:w="120"/>
              <w:right w:type="dxa" w:w="160"/>
            </w:tcMar>
          </w:tcPr>
          <w:p>
            <w:pPr>
              <w:spacing w:after="200" w:before="40"/>
            </w:pPr>
            <w:r>
              <w:rPr>
                <w:rFonts w:ascii="Arial" w:cs="Arial" w:eastAsia="Arial" w:hAnsi="Arial"/>
                <w:i/>
                <w:iCs/>
                <w:color w:val="595959"/>
                <w:sz w:val="20"/>
                <w:szCs w:val="20"/>
              </w:rPr>
              <w:t xml:space="preserve">Cevabınız (E-atıklar, Sıfır Atık Projesi ve atık yönetim planı):</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160" w:before="0"/>
            </w:pPr>
            <w:r>
              <w:rPr>
                <w:rFonts w:ascii="Arial" w:cs="Arial" w:eastAsia="Arial" w:hAnsi="Arial"/>
                <w:sz w:val="22"/>
                <w:szCs w:val="22"/>
              </w:rPr>
              <w:t xml:space="preserve"/>
            </w:r>
          </w:p>
        </w:tc>
      </w:tr>
    </w:tbl>
    <w:p>
      <w:pPr>
        <w:spacing w:after="240" w:before="0"/>
      </w:pPr>
      <w:r>
        <w:rPr>
          <w:rFonts w:ascii="Arial" w:cs="Arial" w:eastAsia="Arial" w:hAnsi="Arial"/>
          <w:sz w:val="22"/>
          <w:szCs w:val="22"/>
        </w:rPr>
        <w:t xml:space="preserve"/>
      </w:r>
    </w:p>
    <w:p>
      <w:pPr>
        <w:pageBreakBefore/>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1F4E79" w:val="clear"/>
            <w:tcMar>
              <w:top w:type="dxa" w:w="120"/>
              <w:left w:type="dxa" w:w="180"/>
              <w:bottom w:type="dxa" w:w="120"/>
              <w:right w:type="dxa" w:w="180"/>
            </w:tcMar>
          </w:tcPr>
          <w:p>
            <w:pPr>
              <w:jc w:val="center"/>
            </w:pPr>
            <w:r>
              <w:rPr>
                <w:rFonts w:ascii="Arial" w:cs="Arial" w:eastAsia="Arial" w:hAnsi="Arial"/>
                <w:b/>
                <w:bCs/>
                <w:color w:val="FFFFFF"/>
                <w:sz w:val="26"/>
                <w:szCs w:val="26"/>
              </w:rPr>
              <w:t xml:space="preserve">CEVAP ANAHTARI — SENARYO 9</w:t>
            </w:r>
          </w:p>
          <w:p>
            <w:pPr>
              <w:jc w:val="center"/>
            </w:pPr>
            <w:r>
              <w:rPr>
                <w:rFonts w:ascii="Arial" w:cs="Arial" w:eastAsia="Arial" w:hAnsi="Arial"/>
                <w:b w:val="false"/>
                <w:bCs w:val="false"/>
                <w:color w:val="FFFFFF"/>
                <w:sz w:val="20"/>
                <w:szCs w:val="20"/>
              </w:rPr>
              <w:t xml:space="preserve">10. Sınıf Biyoloji │ Tema 2: Ekoloji</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1 — Beklenen Yanıt (BİY.10.2.1):</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Yanıtta şu unsurların bulunması beklenir: (a) Cansız bileşenler: tuzluluk (göl ile deniz temas bölgesinde gradyan oluşturur → farklı tür adaptasyonlarına zemin hazırlar), sıcaklık (kum sıcaklığı üreme başarısını belirler), ışık (sazlık zonunda fotosentezi düzenler), sediman (besin tuzları deposu + yuvalama substratı). Her biri ilgili türlerle eşleştirilmeli. (b) Caretta caretta dişileri kumsal sıcaklığını seçer; yüksek kum sıcaklığı (&gt;29 °C) dişi bireylerin çıkma oranını artırır (cinsiyet sıcaklığa bağlı belirlenir). Küresel ısınmayla kum sıcaklığının artması uzun vadede populasyonda cinsiyet dengesini bozabilir. (c) Sazlık ve fitoplankton üreticiler; balıklar ve kuşlar tüketiciler; bakteri ve mantarlar ayrıştırıcılar işlevi görür. Her halka madde döngüsünü ve enerji akışını bir sonraki basamağa taşır; ayrıştırıcıların olmadığı durumda inorganik madde döngüsü kırılır.</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2 — Beklenen Yanıt (BİY.10.2.3):</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Fitoplankton patlaması → zooplankton besin bolluğunda geçici artış; ancak fitoplankton ölüm dalgası oksijeni tüketir → derin sularda ölü zon → zooplankton azalır → hamsi besin kaynağı daralır, hamsi sayısı düşer → yunus popülasyonu da azalır. Tümevarım: her ekstra trofik basamaktaki kısıtlama tüm zincire yansır. (b) %10 kuralıyla: fitoplankton (100%) → zooplankton (10%) → hamsi (1%) → yunus (0,1%). Bu, yüksek trofik basamakların neden az birey barındırdığını ve neden savunmasız olduklarını gösterir. (c) Biyolojik birikim (biyomagnifikasyon) zincirin en üst basamağında — yunusta — en şiddetlidir. Suda çözünen kirleticiler yağ dokusunda birikirken trofik basamak yükseldikçe konsantrasyon artar; üst avcılarda kalıcı organ hasarı oluşabilir.</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3 — Beklenen Yanıt (BİY.10.2.5):</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Brundtland tanımı: 'Bugünün gereksinimlerini, gelecek kuşakların gereksinimlerini karşılama yeteneğinden ödün vermeden karşılayan kalkınma.' Tuz Gölü'nün küçülmesi mevcut neslin su tüketimi nedeniyle göl ekosisteminin gelecek nesillere aktarılamamasını temsil eder. (b) Kısa vade: flamingo gibi göçmen kuşların üreme alanı daralır, biyoçeşitlilik azalır, yer altı suyu tuzlanır. Uzun vade: endemik türler (Artemia salina türleri dahil) yok olur, tuzlu zemin rüzgar erozyonuyla çevre illere toz taşır, tarım arazisi verimliliği düşer, iklim düzenleyici işlevi ortadan kalkar. (c) SKH hedefleri: Temiz Su ve Sanitasyon (Hedef 6), İklim Eylemi (Hedef 13), Karasal Yaşam (Hedef 15). Politika araçları: sulama suyu kotası, Ramsar yükümlülükleri doğrultusunda denetim, tarımsal su verimliliği yatırımları.</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4 — Beklenen Yanıt (BİY.10.2.6):</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Ötrofikasyon zinciri: Azot + fosfor yükü artar → alg ve siyanobakteri patlaması → yüzey tabakasında ışık azalır → derinliklerde fotosentez durur → ölen alg birikimi → heterotrofik bakteri faaliyeti hızlanır → çözünmüş oksijen tükenir → anaerobik ortam → H₂S gibi zehirli gazlar açığa çıkar → deniz canlıları ölür. (b) Habitat kaybı: dip canlıları oksijensizlikten habitat kaybeder. Biyoçeşitlilik kaybı: balık, midye ve yengeç popülasyonları çöker. Su kirliliği: gri görünüm, koku, suda çözünmüş oksijen minimuma düşer. Tüm bu gözlemler 2021 Marmara müsilajında belgelenmiştir. (c) Biyoremediasyon: Petrol ve organik madde yiyen bakteri kültürleri (Pseudomonas, Bacillus türleri) kullanılarak organik yükün parçalanması sağlanabilir. İkinci yöntem: Kaynak kontrolü — tarımsal ve kentsel atıkların arıtılmasında azot-fosfor tutma kapasitesi yüksek ileri arıtma teknolojileri kurulması. Her öneri bilimsel gerekçeyle desteklenmiş olmalı.</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5 — Beklenen Yanıt (BİY.10.2.7):</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Su ayak izi: bir bireyin/topluluğun tüketim faaliyetleri için kullanılan toplam tatlı su hacmidir. Mavi su: yüzey ve yer altı sularından çekilen su (tarımsal sulama); yeşil su: yağışla sağlanan ve bitkiler tarafından kullanılan su; gri su: kirliliği seyreltmek için gereken tatlı su miktarı. (b) 500 ml süt/gün × 1.000 litre/litre = 500 litre su/gün → yılda ~182.500 litre. Bu miktarın hayvancılık → gübre → azot döngüsü yüklenmesine yol açtığı belirtilmeli; su döngüsünde yer altı su seviyesinin düşmesine katkı yapacağı açıklanmalı. (c) Örnek öneriler: (1) Okul lavabolarına akıllı sensörlü musluk takılması → su israfını %30-40 azaltabilir; (2) Yağmur suyu toplama sistemi kurularak tuvalet ve bahçe sulamasında kullanılması → şebeke su tüketimini azaltır. Her öneri için ölçülebilir ekolojik etki ifade edilmeli.</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6 — Beklenen Yanıt (BİY.10.2.7):</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Hızlı moda: Her sezon üretilen fazla giysi → 10.000 litre/kg pamuk su tüketimi → karbon ayak izi (üretim+taşıma fosil yakıtı); ucuz boyalar toprak kirliliğine yol açar → toprak ekosistemine zarar verir; katı atık depolama alanlarında sentetik elyaf yüzyıllar boyunca bozunmaz → toprak ve su kirliliği. (b) İkinci el / takas: hammadde üretilmez → su ve karbon ayak izi sıfır ekleme yapmaz; var olan madde döngüye sokulur → atık azalır; üretim sürecindeki enerji kaybı önlenir (enerji akışında kayıp azalır). (c) Örnek proje: Okul içi giysi takas şenliği. Ekolojik etki: her takas edilen parça için ~10.000 litre su tasarrufu ve ~20-30 kg CO₂ salımı önlenir. Ölçüm yöntemi: takas edilen kıyafet sayısı × kıyaşı başına su/CO₂ sabiti. Projenin biyoçeşitlilik koruma açısından dolaylı katkısı da açıklanmalı (ham madde azalması → tarım baskısı azalır).</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7 — Beklenen Yanıt (BİY.10.2.8):</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Tür koruma: Deniz kaplumbağası ve Akdeniz foku programları gibi nesli tehlike altındaki canlıların bireysel korunması. Alan koruma (yerinde/in-situ): Millî parklar, tabiat koruma alanları (Kaz Dağları ör.); habitatı koruyarak tüm ekosistemi ayakta tutar. Alan dışı koruma (ex-situ): Ege Tarımsal Araştırma Enstitüsü Ulusal Tohum Gen Bankası ve botanik bahçeleri; türün habitatından alınarak güvenli ortamda saklanması. (b) Kelaynak koruma: Başlangıçta taşıma kapasitesinin altında birey mevcuttu; koruma istasyonu çevre direncini azalttı (avcılık yasağı, yuvalama güvencesi); biyotik potansiyel devreye girdi ve popülasyon artışı başladı. Ancak habitat daralması yeniden taşıma kapasitesini sınırlayabilir. (c) Turizm yapılaşması → habitat parçalanması → endemik türlerin gen akışı kısıtlanır → genetik çeşitlilik azalır → türün yok olma riski artar. CITES: ticari istismarı önler; Ramsar: sulak alan ise koruma altına alınması zorunlu. Ulusal SİT statüsü bölgeyi yapılaşmaya kapatabilir; çevresel etki değerlendirmesi (ÇED) zorunlu tutulmalı.</w:t>
            </w:r>
          </w:p>
        </w:tc>
      </w:tr>
    </w:tbl>
    <w:p>
      <w:pPr>
        <w:spacing w:after="8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r>
              <w:rPr>
                <w:rFonts w:ascii="Arial" w:cs="Arial" w:eastAsia="Arial" w:hAnsi="Arial"/>
                <w:b/>
                <w:bCs/>
                <w:color w:val="1F4E79"/>
                <w:sz w:val="22"/>
                <w:szCs w:val="22"/>
              </w:rPr>
              <w:t xml:space="preserve">Soru 8 — Beklenen Yanıt (BİY.10.2.9):</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pPr>
            <w:r>
              <w:rPr>
                <w:rFonts w:ascii="Arial" w:cs="Arial" w:eastAsia="Arial" w:hAnsi="Arial"/>
                <w:color w:val="000000"/>
                <w:sz w:val="21"/>
                <w:szCs w:val="21"/>
              </w:rPr>
              <w:t xml:space="preserve">(a) E-atıklardaki ağır metaller (Hg, Pb, Cd) toprağa ve yer altı suyuna karışır → bitkiler tarafından alınır → herbivorlar tarafından tüketilir → besin zinciri boyunca biyomagnifikasyon → üst avcılarda ve insanlarda organ hasarı, nörolojik bozukluk, kanser riski. (b) Sıfır Atık ilkeleri: Önleme (en az atık üretme) → madde döngüsünde hammadde girişini azaltır; Azaltma → karbon ayak izini düşürür; Yeniden kullanım → enerji akışındaki kayıpları minimize eder; Geri dönüşüm → materyaller döngüye geri girer (karbon, azot döngüsüne katkı); Geri kazanım → enerji geri kazanımıyla fosil yakıt bağımlılığı azalır. (c) Okul atık yönetim planı: (1) Renk kodlu konteyner sistemi (mavi: kâğıt/karton, sarı: plastik/metal, kırmızı: e-atık); (2) Belirli aralıklarla yetkili e-atık toplama noktasına teslimat; (3) Organik atıklar kompostlama ünitesine → bahçe gübresi. Ekolojik katkı: geri dönüştürülen her ton atık için madde döngüsüne kazandırılan kaynak hesaplanabilir; enerji tasarrufu ve CO₂ salım azalması bilimsel gerekçe oluşturur.</w:t>
            </w:r>
          </w:p>
        </w:tc>
      </w:tr>
    </w:tbl>
    <w:p>
      <w:pPr>
        <w:spacing w:after="80" w:before="0"/>
      </w:pPr>
      <w:r>
        <w:rPr>
          <w:rFonts w:ascii="Arial" w:cs="Arial" w:eastAsia="Arial" w:hAnsi="Arial"/>
          <w:sz w:val="22"/>
          <w:szCs w:val="22"/>
        </w:rPr>
        <w:t xml:space="preserve"/>
      </w:r>
    </w:p>
    <w:p>
      <w:pPr>
        <w:spacing w:after="100" w:before="200"/>
        <w:jc w:val="center"/>
      </w:pPr>
      <w:r>
        <w:rPr>
          <w:rFonts w:ascii="Arial" w:cs="Arial" w:eastAsia="Arial" w:hAnsi="Arial"/>
          <w:i/>
          <w:iCs/>
          <w:color w:val="595959"/>
          <w:sz w:val="20"/>
          <w:szCs w:val="20"/>
        </w:rPr>
        <w:t xml:space="preserve">— Senaryo 9 Sonu — Toplam: 8 Soru —</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2026-05-23T18:40:45.150Z</dcterms:created>
  <dcterms:modified xsi:type="dcterms:W3CDTF">2026-05-23T18:40:45.166Z</dcterms:modified>
</cp:coreProperties>
</file>

<file path=docProps/custom.xml><?xml version="1.0" encoding="utf-8"?>
<Properties xmlns="http://schemas.openxmlformats.org/officeDocument/2006/custom-properties" xmlns:vt="http://schemas.openxmlformats.org/officeDocument/2006/docPropsVTypes"/>
</file>