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0"/>
        <w:gridCol w:w="4360"/>
      </w:tblGrid>
      <w:tr>
        <w:tc>
          <w:tcPr>
            <w:tcW w:type="dxa" w:w="5000"/>
            <w:tcBorders>
              <w:top w:val="single" w:color="AAAAAA" w:sz="4"/>
              <w:left w:val="single" w:color="AAAAAA" w:sz="4"/>
              <w:bottom w:val="single" w:color="AAAAAA" w:sz="4"/>
              <w:right w:val="single" w:color="AAAAAA" w:sz="4"/>
            </w:tcBorders>
            <w:shd w:fill="1F4E79" w:val="clear"/>
            <w:tcMar>
              <w:top w:type="dxa" w:w="120"/>
              <w:left w:type="dxa" w:w="160"/>
              <w:bottom w:type="dxa" w:w="120"/>
              <w:right w:type="dxa" w:w="160"/>
            </w:tcMar>
            <w:vAlign w:val="center"/>
          </w:tcPr>
          <w:p>
            <w:pPr>
              <w:jc w:val="center"/>
            </w:pPr>
            <w:r>
              <w:rPr>
                <w:rFonts w:ascii="Arial" w:cs="Arial" w:eastAsia="Arial" w:hAnsi="Arial"/>
                <w:b/>
                <w:bCs/>
                <w:color w:val="FFFFFF"/>
                <w:sz w:val="26"/>
                <w:szCs w:val="26"/>
              </w:rPr>
              <w:t xml:space="preserve">10. SINIF BİYOLOJİ</w:t>
            </w:r>
          </w:p>
          <w:p>
            <w:pPr>
              <w:jc w:val="center"/>
            </w:pPr>
            <w:r>
              <w:rPr>
                <w:rFonts w:ascii="Arial" w:cs="Arial" w:eastAsia="Arial" w:hAnsi="Arial"/>
                <w:b/>
                <w:bCs/>
                <w:color w:val="FFFFFF"/>
                <w:sz w:val="24"/>
                <w:szCs w:val="24"/>
              </w:rPr>
              <w:t xml:space="preserve">ÇALIŞMA SORULARI</w:t>
            </w:r>
          </w:p>
        </w:tc>
        <w:tc>
          <w:tcPr>
            <w:tcW w:type="dxa" w:w="4360"/>
            <w:tcBorders>
              <w:top w:val="single" w:color="AAAAAA" w:sz="4"/>
              <w:left w:val="single" w:color="AAAAAA" w:sz="4"/>
              <w:bottom w:val="single" w:color="AAAAAA" w:sz="4"/>
              <w:right w:val="single" w:color="AAAAAA" w:sz="4"/>
            </w:tcBorders>
            <w:shd w:fill="2E75B6" w:val="clear"/>
            <w:tcMar>
              <w:top w:type="dxa" w:w="120"/>
              <w:left w:type="dxa" w:w="160"/>
              <w:bottom w:type="dxa" w:w="120"/>
              <w:right w:type="dxa" w:w="160"/>
            </w:tcMar>
            <w:vAlign w:val="center"/>
          </w:tcPr>
          <w:p>
            <w:pPr>
              <w:jc w:val="center"/>
            </w:pPr>
            <w:r>
              <w:rPr>
                <w:rFonts w:ascii="Arial" w:cs="Arial" w:eastAsia="Arial" w:hAnsi="Arial"/>
                <w:b/>
                <w:bCs/>
                <w:color w:val="FFFFFF"/>
                <w:sz w:val="28"/>
                <w:szCs w:val="28"/>
              </w:rPr>
              <w:t xml:space="preserve">SENARYO 5</w:t>
            </w:r>
          </w:p>
          <w:p>
            <w:pPr>
              <w:jc w:val="center"/>
            </w:pPr>
            <w:r>
              <w:rPr>
                <w:rFonts w:ascii="Arial" w:cs="Arial" w:eastAsia="Arial" w:hAnsi="Arial"/>
                <w:b w:val="false"/>
                <w:bCs w:val="false"/>
                <w:color w:val="D6E4F0"/>
                <w:sz w:val="22"/>
                <w:szCs w:val="22"/>
              </w:rPr>
              <w:t xml:space="preserve">TEMA 2: EKOLOJİ</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FFF9C4" w:val="clear"/>
            <w:tcMar>
              <w:top w:type="dxa" w:w="80"/>
              <w:left w:type="dxa" w:w="160"/>
              <w:bottom w:type="dxa" w:w="80"/>
              <w:right w:type="dxa" w:w="160"/>
            </w:tcMar>
          </w:tcPr>
          <w:p>
            <w:r>
              <w:rPr>
                <w:rFonts w:ascii="Arial" w:cs="Arial" w:eastAsia="Arial" w:hAnsi="Arial"/>
                <w:sz w:val="20"/>
                <w:szCs w:val="20"/>
              </w:rPr>
              <w:t xml:space="preserve">📌 </w:t>
            </w:r>
            <w:r>
              <w:rPr>
                <w:rFonts w:ascii="Arial" w:cs="Arial" w:eastAsia="Arial" w:hAnsi="Arial"/>
                <w:color w:val="5D4037"/>
                <w:sz w:val="20"/>
                <w:szCs w:val="20"/>
              </w:rPr>
              <w:t xml:space="preserve">Tüm sorular MEB Maarif müfredatı ve 10. Sınıf Biyoloji Ders Kitabı esas alınarak hazırlanmıştır. Sorular açık uçlu sorgulama becerilerini ölçmektedir.</w:t>
            </w:r>
          </w:p>
        </w:tc>
      </w:tr>
    </w:tbl>
    <w:p>
      <w:pPr>
        <w:spacing w:after="0" w:before="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AAAAAA" w:sz="4"/>
              <w:left w:val="single" w:color="AAAAAA" w:sz="4"/>
              <w:bottom w:val="single" w:color="AAAAAA" w:sz="4"/>
              <w:right w:val="single" w:color="AAAAAA" w:sz="4"/>
            </w:tcBorders>
            <w:shd w:fill="D6E4F0" w:val="clear"/>
            <w:tcMar>
              <w:top w:type="dxa" w:w="100"/>
              <w:left w:type="dxa" w:w="140"/>
              <w:bottom w:type="dxa" w:w="100"/>
              <w:right w:type="dxa" w:w="140"/>
            </w:tcMar>
            <w:vAlign w:val="center"/>
          </w:tcPr>
          <w:p>
            <w:pPr>
              <w:jc w:val="center"/>
            </w:pPr>
            <w:r>
              <w:rPr>
                <w:rFonts w:ascii="Arial" w:cs="Arial" w:eastAsia="Arial" w:hAnsi="Arial"/>
                <w:b/>
                <w:bCs/>
                <w:color w:val="1F4E79"/>
                <w:sz w:val="20"/>
                <w:szCs w:val="20"/>
              </w:rPr>
              <w:t xml:space="preserve">BÖLÜM 1</w:t>
            </w:r>
          </w:p>
        </w:tc>
        <w:tc>
          <w:tcPr>
            <w:tcW w:type="dxa" w:w="7960"/>
            <w:tcBorders>
              <w:top w:val="single" w:color="AAAAAA" w:sz="4"/>
              <w:left w:val="single" w:color="AAAAAA" w:sz="4"/>
              <w:bottom w:val="single" w:color="AAAAAA" w:sz="4"/>
              <w:right w:val="single" w:color="AAAAAA" w:sz="4"/>
            </w:tcBorders>
            <w:shd w:fill="F2F2F2" w:val="clear"/>
            <w:tcMar>
              <w:top w:type="dxa" w:w="100"/>
              <w:left w:type="dxa" w:w="160"/>
              <w:bottom w:type="dxa" w:w="100"/>
              <w:right w:type="dxa" w:w="160"/>
            </w:tcMar>
            <w:vAlign w:val="center"/>
          </w:tcPr>
          <w:p>
            <w:r>
              <w:rPr>
                <w:rFonts w:ascii="Arial" w:cs="Arial" w:eastAsia="Arial" w:hAnsi="Arial"/>
                <w:b/>
                <w:bCs/>
                <w:color w:val="1F4E79"/>
                <w:sz w:val="20"/>
                <w:szCs w:val="20"/>
              </w:rPr>
              <w:t xml:space="preserve">BİY.10.2.2</w:t>
            </w:r>
            <w:r>
              <w:rPr>
                <w:rFonts w:ascii="Arial" w:cs="Arial" w:eastAsia="Arial" w:hAnsi="Arial"/>
                <w:b/>
                <w:bCs/>
                <w:color w:val="555555"/>
                <w:sz w:val="20"/>
                <w:szCs w:val="20"/>
              </w:rPr>
              <w:t xml:space="preserve">   Kazanım: </w:t>
            </w:r>
            <w:r>
              <w:rPr>
                <w:rFonts w:ascii="Arial" w:cs="Arial" w:eastAsia="Arial" w:hAnsi="Arial"/>
                <w:b w:val="false"/>
                <w:bCs w:val="false"/>
                <w:color w:val="333333"/>
                <w:sz w:val="20"/>
                <w:szCs w:val="20"/>
              </w:rPr>
              <w:t xml:space="preserve">Komünitelerde ve popülasyonlarda görülen etkileşimleri ve değişimleri sorgulayabilme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FFFFFF" w:val="clear"/>
            <w:tcMar>
              <w:top w:type="dxa" w:w="120"/>
              <w:left w:type="dxa" w:w="180"/>
              <w:bottom w:type="dxa" w:w="120"/>
              <w:right w:type="dxa" w:w="180"/>
            </w:tcMar>
          </w:tcPr>
          <w:p>
            <w:pPr>
              <w:spacing w:after="80" w:before="0"/>
            </w:pPr>
            <w:r>
              <w:rPr>
                <w:rFonts w:ascii="Arial" w:cs="Arial" w:eastAsia="Arial" w:hAnsi="Arial"/>
                <w:b/>
                <w:bCs/>
                <w:color w:val="C0392B"/>
                <w:sz w:val="22"/>
                <w:szCs w:val="22"/>
              </w:rPr>
              <w:t xml:space="preserve">Soru 1. </w:t>
            </w:r>
            <w:r>
              <w:rPr>
                <w:rFonts w:ascii="Arial" w:cs="Arial" w:eastAsia="Arial" w:hAnsi="Arial"/>
                <w:b w:val="false"/>
                <w:bCs w:val="false"/>
                <w:color w:val="111111"/>
                <w:sz w:val="22"/>
                <w:szCs w:val="22"/>
              </w:rPr>
              <w:t xml:space="preserve">Tek Tek Dağları Millî Parkı'nda yürütülen izleme programında kurt (Canis lupus) popülasyonunun korunmasına yönelik önlemler alınmış; bu sayede kurt sayısı belirgin biçimde artmıştır. Ancak aynı dönemde kurtların avcılık yaptığı yaban keçisi ve alageyik popülasyonlarında önemli azalmalar gözlemlenmiştir. Bu durumu av-avcı ilişkisi ve taşıma kapasitesi kavramlarını kullanarak sorgulayınız. Kurt popülasyonunun artışının komünite yapısı üzerindeki kısa ve uzun vadeli etkilerini tür içi ve türler arası rekabet bağlamında açıklayınız.</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EAF4FB" w:val="clear"/>
            <w:tcMar>
              <w:top w:type="dxa" w:w="100"/>
              <w:left w:type="dxa" w:w="180"/>
              <w:bottom w:type="dxa" w:w="100"/>
              <w:right w:type="dxa" w:w="180"/>
            </w:tcMar>
          </w:tcPr>
          <w:p>
            <w:pPr>
              <w:spacing w:after="200" w:before="0"/>
            </w:pPr>
            <w:r>
              <w:rPr>
                <w:rFonts w:ascii="Arial" w:cs="Arial" w:eastAsia="Arial" w:hAnsi="Arial"/>
                <w:color w:val="2E75B6"/>
                <w:sz w:val="20"/>
                <w:szCs w:val="20"/>
              </w:rPr>
              <w:t xml:space="preserve">Cevabınız (Av-avcı ilişkisi, taşıma kapasitesi ve rekabet):</w:t>
            </w:r>
          </w:p>
          <w:p>
            <w:pPr>
              <w:spacing w:after="300" w:before="0"/>
            </w:pPr>
            <w:r>
              <w:rPr>
                <w:sz w:val="22"/>
                <w:szCs w:val="22"/>
              </w:rPr>
              <w:t xml:space="preserve"> </w:t>
            </w:r>
          </w:p>
          <w:p>
            <w:pPr>
              <w:spacing w:after="300" w:before="0"/>
            </w:pPr>
            <w:r>
              <w:rPr>
                <w:sz w:val="22"/>
                <w:szCs w:val="22"/>
              </w:rPr>
              <w:t xml:space="preserve"> </w:t>
            </w:r>
          </w:p>
          <w:p>
            <w:pPr>
              <w:spacing w:after="0" w:before="0"/>
            </w:pPr>
            <w:r>
              <w:rPr>
                <w:sz w:val="22"/>
                <w:szCs w:val="22"/>
              </w:rPr>
              <w:t xml:space="preserve"> </w:t>
            </w:r>
          </w:p>
        </w:tc>
      </w:tr>
    </w:tbl>
    <w:p>
      <w:pPr>
        <w:spacing w:after="0" w:before="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AAAAAA" w:sz="4"/>
              <w:left w:val="single" w:color="AAAAAA" w:sz="4"/>
              <w:bottom w:val="single" w:color="AAAAAA" w:sz="4"/>
              <w:right w:val="single" w:color="AAAAAA" w:sz="4"/>
            </w:tcBorders>
            <w:shd w:fill="D6E4F0" w:val="clear"/>
            <w:tcMar>
              <w:top w:type="dxa" w:w="100"/>
              <w:left w:type="dxa" w:w="140"/>
              <w:bottom w:type="dxa" w:w="100"/>
              <w:right w:type="dxa" w:w="140"/>
            </w:tcMar>
            <w:vAlign w:val="center"/>
          </w:tcPr>
          <w:p>
            <w:pPr>
              <w:jc w:val="center"/>
            </w:pPr>
            <w:r>
              <w:rPr>
                <w:rFonts w:ascii="Arial" w:cs="Arial" w:eastAsia="Arial" w:hAnsi="Arial"/>
                <w:b/>
                <w:bCs/>
                <w:color w:val="1F4E79"/>
                <w:sz w:val="20"/>
                <w:szCs w:val="20"/>
              </w:rPr>
              <w:t xml:space="preserve">BÖLÜM 2</w:t>
            </w:r>
          </w:p>
        </w:tc>
        <w:tc>
          <w:tcPr>
            <w:tcW w:type="dxa" w:w="7960"/>
            <w:tcBorders>
              <w:top w:val="single" w:color="AAAAAA" w:sz="4"/>
              <w:left w:val="single" w:color="AAAAAA" w:sz="4"/>
              <w:bottom w:val="single" w:color="AAAAAA" w:sz="4"/>
              <w:right w:val="single" w:color="AAAAAA" w:sz="4"/>
            </w:tcBorders>
            <w:shd w:fill="F2F2F2" w:val="clear"/>
            <w:tcMar>
              <w:top w:type="dxa" w:w="100"/>
              <w:left w:type="dxa" w:w="160"/>
              <w:bottom w:type="dxa" w:w="100"/>
              <w:right w:type="dxa" w:w="160"/>
            </w:tcMar>
            <w:vAlign w:val="center"/>
          </w:tcPr>
          <w:p>
            <w:r>
              <w:rPr>
                <w:rFonts w:ascii="Arial" w:cs="Arial" w:eastAsia="Arial" w:hAnsi="Arial"/>
                <w:b/>
                <w:bCs/>
                <w:color w:val="1F4E79"/>
                <w:sz w:val="20"/>
                <w:szCs w:val="20"/>
              </w:rPr>
              <w:t xml:space="preserve">BİY.10.2.3</w:t>
            </w:r>
            <w:r>
              <w:rPr>
                <w:rFonts w:ascii="Arial" w:cs="Arial" w:eastAsia="Arial" w:hAnsi="Arial"/>
                <w:b/>
                <w:bCs/>
                <w:color w:val="555555"/>
                <w:sz w:val="20"/>
                <w:szCs w:val="20"/>
              </w:rPr>
              <w:t xml:space="preserve">   Kazanım: </w:t>
            </w:r>
            <w:r>
              <w:rPr>
                <w:rFonts w:ascii="Arial" w:cs="Arial" w:eastAsia="Arial" w:hAnsi="Arial"/>
                <w:b w:val="false"/>
                <w:bCs w:val="false"/>
                <w:color w:val="333333"/>
                <w:sz w:val="20"/>
                <w:szCs w:val="20"/>
              </w:rPr>
              <w:t xml:space="preserve">Ekosistemdeki enerji akışıyla ilgili tümevarımsal akıl yürütebilme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FFFFFF" w:val="clear"/>
            <w:tcMar>
              <w:top w:type="dxa" w:w="120"/>
              <w:left w:type="dxa" w:w="180"/>
              <w:bottom w:type="dxa" w:w="120"/>
              <w:right w:type="dxa" w:w="180"/>
            </w:tcMar>
          </w:tcPr>
          <w:p>
            <w:pPr>
              <w:spacing w:after="80" w:before="0"/>
            </w:pPr>
            <w:r>
              <w:rPr>
                <w:rFonts w:ascii="Arial" w:cs="Arial" w:eastAsia="Arial" w:hAnsi="Arial"/>
                <w:b/>
                <w:bCs/>
                <w:color w:val="C0392B"/>
                <w:sz w:val="22"/>
                <w:szCs w:val="22"/>
              </w:rPr>
              <w:t xml:space="preserve">Soru 2. </w:t>
            </w:r>
            <w:r>
              <w:rPr>
                <w:rFonts w:ascii="Arial" w:cs="Arial" w:eastAsia="Arial" w:hAnsi="Arial"/>
                <w:b w:val="false"/>
                <w:bCs w:val="false"/>
                <w:color w:val="111111"/>
                <w:sz w:val="22"/>
                <w:szCs w:val="22"/>
              </w:rPr>
              <w:t xml:space="preserve">Ege kıyılarındaki bir koy ekosisteminde şu besin zinciri gözlemlenmiştir: Deniz yosunu → Deniz kestanesi → Ahtapot → Orkinoz → Akdeniz foku. Bu besin zincirine dayanarak: (a) Her trofik basamakta enerjinin yalnızca ~%10'unun bir üst basamağa aktarılabilmesinin termodinamik açıklamasını yapınız. (b) Ahtapot popülasyonunun ani bir hastalık salgını nedeniyle yarı yarıya azaldığı bir senaryoda deniz kestanesi ve orkinoz popülasyonlarında beklenen değişimleri tümevarımsal akıl yürüterek tahmin ediniz ve besin ağındaki enerji akışının nasıl yeniden şekilleneceğini açıklayınız.</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EAF4FB" w:val="clear"/>
            <w:tcMar>
              <w:top w:type="dxa" w:w="100"/>
              <w:left w:type="dxa" w:w="180"/>
              <w:bottom w:type="dxa" w:w="100"/>
              <w:right w:type="dxa" w:w="180"/>
            </w:tcMar>
          </w:tcPr>
          <w:p>
            <w:pPr>
              <w:spacing w:after="200" w:before="0"/>
            </w:pPr>
            <w:r>
              <w:rPr>
                <w:rFonts w:ascii="Arial" w:cs="Arial" w:eastAsia="Arial" w:hAnsi="Arial"/>
                <w:color w:val="2E75B6"/>
                <w:sz w:val="20"/>
                <w:szCs w:val="20"/>
              </w:rPr>
              <w:t xml:space="preserve">Cevabınız (Termodinamik, enerji akışı ve tümevarımsal tahmin):</w:t>
            </w:r>
          </w:p>
          <w:p>
            <w:pPr>
              <w:spacing w:after="300" w:before="0"/>
            </w:pPr>
            <w:r>
              <w:rPr>
                <w:sz w:val="22"/>
                <w:szCs w:val="22"/>
              </w:rPr>
              <w:t xml:space="preserve"> </w:t>
            </w:r>
          </w:p>
          <w:p>
            <w:pPr>
              <w:spacing w:after="300" w:before="0"/>
            </w:pPr>
            <w:r>
              <w:rPr>
                <w:sz w:val="22"/>
                <w:szCs w:val="22"/>
              </w:rPr>
              <w:t xml:space="preserve"> </w:t>
            </w:r>
          </w:p>
          <w:p>
            <w:pPr>
              <w:spacing w:after="0" w:before="0"/>
            </w:pPr>
            <w:r>
              <w:rPr>
                <w:sz w:val="22"/>
                <w:szCs w:val="22"/>
              </w:rPr>
              <w:t xml:space="preserve"> </w:t>
            </w:r>
          </w:p>
        </w:tc>
      </w:tr>
    </w:tbl>
    <w:p>
      <w:pPr>
        <w:spacing w:after="0" w:before="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AAAAAA" w:sz="4"/>
              <w:left w:val="single" w:color="AAAAAA" w:sz="4"/>
              <w:bottom w:val="single" w:color="AAAAAA" w:sz="4"/>
              <w:right w:val="single" w:color="AAAAAA" w:sz="4"/>
            </w:tcBorders>
            <w:shd w:fill="D6E4F0" w:val="clear"/>
            <w:tcMar>
              <w:top w:type="dxa" w:w="100"/>
              <w:left w:type="dxa" w:w="140"/>
              <w:bottom w:type="dxa" w:w="100"/>
              <w:right w:type="dxa" w:w="140"/>
            </w:tcMar>
            <w:vAlign w:val="center"/>
          </w:tcPr>
          <w:p>
            <w:pPr>
              <w:jc w:val="center"/>
            </w:pPr>
            <w:r>
              <w:rPr>
                <w:rFonts w:ascii="Arial" w:cs="Arial" w:eastAsia="Arial" w:hAnsi="Arial"/>
                <w:b/>
                <w:bCs/>
                <w:color w:val="1F4E79"/>
                <w:sz w:val="20"/>
                <w:szCs w:val="20"/>
              </w:rPr>
              <w:t xml:space="preserve">BÖLÜM 3</w:t>
            </w:r>
          </w:p>
        </w:tc>
        <w:tc>
          <w:tcPr>
            <w:tcW w:type="dxa" w:w="7960"/>
            <w:tcBorders>
              <w:top w:val="single" w:color="AAAAAA" w:sz="4"/>
              <w:left w:val="single" w:color="AAAAAA" w:sz="4"/>
              <w:bottom w:val="single" w:color="AAAAAA" w:sz="4"/>
              <w:right w:val="single" w:color="AAAAAA" w:sz="4"/>
            </w:tcBorders>
            <w:shd w:fill="F2F2F2" w:val="clear"/>
            <w:tcMar>
              <w:top w:type="dxa" w:w="100"/>
              <w:left w:type="dxa" w:w="160"/>
              <w:bottom w:type="dxa" w:w="100"/>
              <w:right w:type="dxa" w:w="160"/>
            </w:tcMar>
            <w:vAlign w:val="center"/>
          </w:tcPr>
          <w:p>
            <w:r>
              <w:rPr>
                <w:rFonts w:ascii="Arial" w:cs="Arial" w:eastAsia="Arial" w:hAnsi="Arial"/>
                <w:b/>
                <w:bCs/>
                <w:color w:val="1F4E79"/>
                <w:sz w:val="20"/>
                <w:szCs w:val="20"/>
              </w:rPr>
              <w:t xml:space="preserve">BİY.10.2.4</w:t>
            </w:r>
            <w:r>
              <w:rPr>
                <w:rFonts w:ascii="Arial" w:cs="Arial" w:eastAsia="Arial" w:hAnsi="Arial"/>
                <w:b/>
                <w:bCs/>
                <w:color w:val="555555"/>
                <w:sz w:val="20"/>
                <w:szCs w:val="20"/>
              </w:rPr>
              <w:t xml:space="preserve">   Kazanım: </w:t>
            </w:r>
            <w:r>
              <w:rPr>
                <w:rFonts w:ascii="Arial" w:cs="Arial" w:eastAsia="Arial" w:hAnsi="Arial"/>
                <w:b w:val="false"/>
                <w:bCs w:val="false"/>
                <w:color w:val="333333"/>
                <w:sz w:val="20"/>
                <w:szCs w:val="20"/>
              </w:rPr>
              <w:t xml:space="preserve">Madde döngüleri ile ilgili bilimsel model oluşturabilme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FFFFFF" w:val="clear"/>
            <w:tcMar>
              <w:top w:type="dxa" w:w="120"/>
              <w:left w:type="dxa" w:w="180"/>
              <w:bottom w:type="dxa" w:w="120"/>
              <w:right w:type="dxa" w:w="180"/>
            </w:tcMar>
          </w:tcPr>
          <w:p>
            <w:pPr>
              <w:spacing w:after="80" w:before="0"/>
            </w:pPr>
            <w:r>
              <w:rPr>
                <w:rFonts w:ascii="Arial" w:cs="Arial" w:eastAsia="Arial" w:hAnsi="Arial"/>
                <w:b/>
                <w:bCs/>
                <w:color w:val="C0392B"/>
                <w:sz w:val="22"/>
                <w:szCs w:val="22"/>
              </w:rPr>
              <w:t xml:space="preserve">Soru 3. </w:t>
            </w:r>
            <w:r>
              <w:rPr>
                <w:rFonts w:ascii="Arial" w:cs="Arial" w:eastAsia="Arial" w:hAnsi="Arial"/>
                <w:b w:val="false"/>
                <w:bCs w:val="false"/>
                <w:color w:val="111111"/>
                <w:sz w:val="22"/>
                <w:szCs w:val="22"/>
              </w:rPr>
              <w:t xml:space="preserve">Biyosfer-2 Projesi'nde (1987-1989) kapalı bir ekosistemde madde döngüleri işletilememiş; oksijen oranı düşmüş, karbondioksit birikmiş ve azot oksit miktarı tehlikeli seviyelere ulaşmıştır. Bu başarısızlığı azot döngüsü açısından değerlendiriniz: (a) Azot fiksasyonu, nitrifikasyon ve denitrifikasyon basamaklarını içeren bir azot döngüsü modeli oluşturarak bu basamaklardan hangisinin Biyosfer-2'de yetersiz kaldığını ve bunun azot oksit birikimine nasıl yol açtığını açıklayınız. (b) Baklagil-Rhizobium mutualizmi bu döngüde hangi kritik işlevi üstlenmektedir? Bu ilişki olmaksızın kapalı ekosistemin neden çökebileceğini modelinizle gösteriniz.</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EAF4FB" w:val="clear"/>
            <w:tcMar>
              <w:top w:type="dxa" w:w="100"/>
              <w:left w:type="dxa" w:w="180"/>
              <w:bottom w:type="dxa" w:w="100"/>
              <w:right w:type="dxa" w:w="180"/>
            </w:tcMar>
          </w:tcPr>
          <w:p>
            <w:pPr>
              <w:spacing w:after="200" w:before="0"/>
            </w:pPr>
            <w:r>
              <w:rPr>
                <w:rFonts w:ascii="Arial" w:cs="Arial" w:eastAsia="Arial" w:hAnsi="Arial"/>
                <w:color w:val="2E75B6"/>
                <w:sz w:val="20"/>
                <w:szCs w:val="20"/>
              </w:rPr>
              <w:t xml:space="preserve">Cevabınız (Azot döngüsü modeli ve Biyosfer-2 ilişkisi):</w:t>
            </w:r>
          </w:p>
          <w:p>
            <w:pPr>
              <w:spacing w:after="300" w:before="0"/>
            </w:pPr>
            <w:r>
              <w:rPr>
                <w:sz w:val="22"/>
                <w:szCs w:val="22"/>
              </w:rPr>
              <w:t xml:space="preserve"> </w:t>
            </w:r>
          </w:p>
          <w:p>
            <w:pPr>
              <w:spacing w:after="300" w:before="0"/>
            </w:pPr>
            <w:r>
              <w:rPr>
                <w:sz w:val="22"/>
                <w:szCs w:val="22"/>
              </w:rPr>
              <w:t xml:space="preserve"> </w:t>
            </w:r>
          </w:p>
          <w:p>
            <w:pPr>
              <w:spacing w:after="0" w:before="0"/>
            </w:pPr>
            <w:r>
              <w:rPr>
                <w:sz w:val="22"/>
                <w:szCs w:val="22"/>
              </w:rPr>
              <w:t xml:space="preserve"> </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FFFFFF" w:val="clear"/>
            <w:tcMar>
              <w:top w:type="dxa" w:w="120"/>
              <w:left w:type="dxa" w:w="180"/>
              <w:bottom w:type="dxa" w:w="120"/>
              <w:right w:type="dxa" w:w="180"/>
            </w:tcMar>
          </w:tcPr>
          <w:p>
            <w:pPr>
              <w:spacing w:after="80" w:before="0"/>
            </w:pPr>
            <w:r>
              <w:rPr>
                <w:rFonts w:ascii="Arial" w:cs="Arial" w:eastAsia="Arial" w:hAnsi="Arial"/>
                <w:b/>
                <w:bCs/>
                <w:color w:val="C0392B"/>
                <w:sz w:val="22"/>
                <w:szCs w:val="22"/>
              </w:rPr>
              <w:t xml:space="preserve">Soru 4. </w:t>
            </w:r>
            <w:r>
              <w:rPr>
                <w:rFonts w:ascii="Arial" w:cs="Arial" w:eastAsia="Arial" w:hAnsi="Arial"/>
                <w:b w:val="false"/>
                <w:bCs w:val="false"/>
                <w:color w:val="111111"/>
                <w:sz w:val="22"/>
                <w:szCs w:val="22"/>
              </w:rPr>
              <w:t xml:space="preserve">İstanbul Boğazı'nda son yıllarda gözlemlenen müsilaj (deniz salyası) olayının temel nedeni aşırı besin tuzu (azot ve fosfor) yüklenmesidir. Karbon döngüsü ve azot döngüsü perspektifinden bu olayı bilimsel bir modelle açıklayınız: (a) Azot ve fosfor fazlalığının ötrofikasyona yol açma mekanizmasını azot döngüsündeki nitrifikasyon ve denitrifikasyon süreçleriyle ilişkilendirerek modelleyiniz. (b) Müsilajın sucul ortamdaki fitoplankton ve ayrıştırıcı aktivitesinin artması nedeniyle karbon döngüsünü (CO₂ üretimi/tüketimi dengesi) nasıl bozduğunu açıklayınız.</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EAF4FB" w:val="clear"/>
            <w:tcMar>
              <w:top w:type="dxa" w:w="100"/>
              <w:left w:type="dxa" w:w="180"/>
              <w:bottom w:type="dxa" w:w="100"/>
              <w:right w:type="dxa" w:w="180"/>
            </w:tcMar>
          </w:tcPr>
          <w:p>
            <w:pPr>
              <w:spacing w:after="200" w:before="0"/>
            </w:pPr>
            <w:r>
              <w:rPr>
                <w:rFonts w:ascii="Arial" w:cs="Arial" w:eastAsia="Arial" w:hAnsi="Arial"/>
                <w:color w:val="2E75B6"/>
                <w:sz w:val="20"/>
                <w:szCs w:val="20"/>
              </w:rPr>
              <w:t xml:space="preserve">Cevabınız (Azot-karbon döngüsü ve müsilaj ilişkisi):</w:t>
            </w:r>
          </w:p>
          <w:p>
            <w:pPr>
              <w:spacing w:after="300" w:before="0"/>
            </w:pPr>
            <w:r>
              <w:rPr>
                <w:sz w:val="22"/>
                <w:szCs w:val="22"/>
              </w:rPr>
              <w:t xml:space="preserve"> </w:t>
            </w:r>
          </w:p>
          <w:p>
            <w:pPr>
              <w:spacing w:after="300" w:before="0"/>
            </w:pPr>
            <w:r>
              <w:rPr>
                <w:sz w:val="22"/>
                <w:szCs w:val="22"/>
              </w:rPr>
              <w:t xml:space="preserve"> </w:t>
            </w:r>
          </w:p>
          <w:p>
            <w:pPr>
              <w:spacing w:after="0" w:before="0"/>
            </w:pPr>
            <w:r>
              <w:rPr>
                <w:sz w:val="22"/>
                <w:szCs w:val="22"/>
              </w:rPr>
              <w:t xml:space="preserve"> </w:t>
            </w:r>
          </w:p>
        </w:tc>
      </w:tr>
    </w:tbl>
    <w:p>
      <w:pPr>
        <w:spacing w:after="0" w:before="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AAAAAA" w:sz="4"/>
              <w:left w:val="single" w:color="AAAAAA" w:sz="4"/>
              <w:bottom w:val="single" w:color="AAAAAA" w:sz="4"/>
              <w:right w:val="single" w:color="AAAAAA" w:sz="4"/>
            </w:tcBorders>
            <w:shd w:fill="D6E4F0" w:val="clear"/>
            <w:tcMar>
              <w:top w:type="dxa" w:w="100"/>
              <w:left w:type="dxa" w:w="140"/>
              <w:bottom w:type="dxa" w:w="100"/>
              <w:right w:type="dxa" w:w="140"/>
            </w:tcMar>
            <w:vAlign w:val="center"/>
          </w:tcPr>
          <w:p>
            <w:pPr>
              <w:jc w:val="center"/>
            </w:pPr>
            <w:r>
              <w:rPr>
                <w:rFonts w:ascii="Arial" w:cs="Arial" w:eastAsia="Arial" w:hAnsi="Arial"/>
                <w:b/>
                <w:bCs/>
                <w:color w:val="1F4E79"/>
                <w:sz w:val="20"/>
                <w:szCs w:val="20"/>
              </w:rPr>
              <w:t xml:space="preserve">BÖLÜM 4</w:t>
            </w:r>
          </w:p>
        </w:tc>
        <w:tc>
          <w:tcPr>
            <w:tcW w:type="dxa" w:w="7960"/>
            <w:tcBorders>
              <w:top w:val="single" w:color="AAAAAA" w:sz="4"/>
              <w:left w:val="single" w:color="AAAAAA" w:sz="4"/>
              <w:bottom w:val="single" w:color="AAAAAA" w:sz="4"/>
              <w:right w:val="single" w:color="AAAAAA" w:sz="4"/>
            </w:tcBorders>
            <w:shd w:fill="F2F2F2" w:val="clear"/>
            <w:tcMar>
              <w:top w:type="dxa" w:w="100"/>
              <w:left w:type="dxa" w:w="160"/>
              <w:bottom w:type="dxa" w:w="100"/>
              <w:right w:type="dxa" w:w="160"/>
            </w:tcMar>
            <w:vAlign w:val="center"/>
          </w:tcPr>
          <w:p>
            <w:r>
              <w:rPr>
                <w:rFonts w:ascii="Arial" w:cs="Arial" w:eastAsia="Arial" w:hAnsi="Arial"/>
                <w:b/>
                <w:bCs/>
                <w:color w:val="1F4E79"/>
                <w:sz w:val="20"/>
                <w:szCs w:val="20"/>
              </w:rPr>
              <w:t xml:space="preserve">BİY.10.2.5</w:t>
            </w:r>
            <w:r>
              <w:rPr>
                <w:rFonts w:ascii="Arial" w:cs="Arial" w:eastAsia="Arial" w:hAnsi="Arial"/>
                <w:b/>
                <w:bCs/>
                <w:color w:val="555555"/>
                <w:sz w:val="20"/>
                <w:szCs w:val="20"/>
              </w:rPr>
              <w:t xml:space="preserve">   Kazanım: </w:t>
            </w:r>
            <w:r>
              <w:rPr>
                <w:rFonts w:ascii="Arial" w:cs="Arial" w:eastAsia="Arial" w:hAnsi="Arial"/>
                <w:b w:val="false"/>
                <w:bCs w:val="false"/>
                <w:color w:val="333333"/>
                <w:sz w:val="20"/>
                <w:szCs w:val="20"/>
              </w:rPr>
              <w:t xml:space="preserve">Ekolojik sürdürülebilirliğin önemini yorumlayabilme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FFFFFF" w:val="clear"/>
            <w:tcMar>
              <w:top w:type="dxa" w:w="120"/>
              <w:left w:type="dxa" w:w="180"/>
              <w:bottom w:type="dxa" w:w="120"/>
              <w:right w:type="dxa" w:w="180"/>
            </w:tcMar>
          </w:tcPr>
          <w:p>
            <w:pPr>
              <w:spacing w:after="80" w:before="0"/>
            </w:pPr>
            <w:r>
              <w:rPr>
                <w:rFonts w:ascii="Arial" w:cs="Arial" w:eastAsia="Arial" w:hAnsi="Arial"/>
                <w:b/>
                <w:bCs/>
                <w:color w:val="C0392B"/>
                <w:sz w:val="22"/>
                <w:szCs w:val="22"/>
              </w:rPr>
              <w:t xml:space="preserve">Soru 5. </w:t>
            </w:r>
            <w:r>
              <w:rPr>
                <w:rFonts w:ascii="Arial" w:cs="Arial" w:eastAsia="Arial" w:hAnsi="Arial"/>
                <w:b w:val="false"/>
                <w:bCs w:val="false"/>
                <w:color w:val="111111"/>
                <w:sz w:val="22"/>
                <w:szCs w:val="22"/>
              </w:rPr>
              <w:t xml:space="preserve">Paris Antlaşması kapsamında Türkiye, 2053 yılına kadar 'net sıfır' emisyon hedefini benimsemiştir. Ekolojik sürdürülebilirlik açısından bu hedefi yorumlayınız: (a) 'Net sıfır' kavramının karbon döngüsüyle ilişkisini kurarak bu hedefe ulaşılmaması durumunda ekosistemlerde (sulak alanlar, ormanlar, denizler) kısa ve uzun vadede ne gibi değişimler yaşanabileceğini açıklayınız. (b) Ekolojik sürdürülebilirliği Brundtland tanımıyla ilişkilendirerek Paris Antlaşması'nın bu tanımı nasıl somutlaştırdığını yorumlayınız.</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EAF4FB" w:val="clear"/>
            <w:tcMar>
              <w:top w:type="dxa" w:w="100"/>
              <w:left w:type="dxa" w:w="180"/>
              <w:bottom w:type="dxa" w:w="100"/>
              <w:right w:type="dxa" w:w="180"/>
            </w:tcMar>
          </w:tcPr>
          <w:p>
            <w:pPr>
              <w:spacing w:after="200" w:before="0"/>
            </w:pPr>
            <w:r>
              <w:rPr>
                <w:rFonts w:ascii="Arial" w:cs="Arial" w:eastAsia="Arial" w:hAnsi="Arial"/>
                <w:color w:val="2E75B6"/>
                <w:sz w:val="20"/>
                <w:szCs w:val="20"/>
              </w:rPr>
              <w:t xml:space="preserve">Cevabınız (Net sıfır, karbon döngüsü ve sürdürülebilirlik yorumu):</w:t>
            </w:r>
          </w:p>
          <w:p>
            <w:pPr>
              <w:spacing w:after="300" w:before="0"/>
            </w:pPr>
            <w:r>
              <w:rPr>
                <w:sz w:val="22"/>
                <w:szCs w:val="22"/>
              </w:rPr>
              <w:t xml:space="preserve"> </w:t>
            </w:r>
          </w:p>
          <w:p>
            <w:pPr>
              <w:spacing w:after="300" w:before="0"/>
            </w:pPr>
            <w:r>
              <w:rPr>
                <w:sz w:val="22"/>
                <w:szCs w:val="22"/>
              </w:rPr>
              <w:t xml:space="preserve"> </w:t>
            </w:r>
          </w:p>
          <w:p>
            <w:pPr>
              <w:spacing w:after="0" w:before="0"/>
            </w:pPr>
            <w:r>
              <w:rPr>
                <w:sz w:val="22"/>
                <w:szCs w:val="22"/>
              </w:rPr>
              <w:t xml:space="preserve"> </w:t>
            </w:r>
          </w:p>
        </w:tc>
      </w:tr>
    </w:tbl>
    <w:p>
      <w:pPr>
        <w:spacing w:after="0" w:before="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AAAAAA" w:sz="4"/>
              <w:left w:val="single" w:color="AAAAAA" w:sz="4"/>
              <w:bottom w:val="single" w:color="AAAAAA" w:sz="4"/>
              <w:right w:val="single" w:color="AAAAAA" w:sz="4"/>
            </w:tcBorders>
            <w:shd w:fill="D6E4F0" w:val="clear"/>
            <w:tcMar>
              <w:top w:type="dxa" w:w="100"/>
              <w:left w:type="dxa" w:w="140"/>
              <w:bottom w:type="dxa" w:w="100"/>
              <w:right w:type="dxa" w:w="140"/>
            </w:tcMar>
            <w:vAlign w:val="center"/>
          </w:tcPr>
          <w:p>
            <w:pPr>
              <w:jc w:val="center"/>
            </w:pPr>
            <w:r>
              <w:rPr>
                <w:rFonts w:ascii="Arial" w:cs="Arial" w:eastAsia="Arial" w:hAnsi="Arial"/>
                <w:b/>
                <w:bCs/>
                <w:color w:val="1F4E79"/>
                <w:sz w:val="20"/>
                <w:szCs w:val="20"/>
              </w:rPr>
              <w:t xml:space="preserve">BÖLÜM 5</w:t>
            </w:r>
          </w:p>
        </w:tc>
        <w:tc>
          <w:tcPr>
            <w:tcW w:type="dxa" w:w="7960"/>
            <w:tcBorders>
              <w:top w:val="single" w:color="AAAAAA" w:sz="4"/>
              <w:left w:val="single" w:color="AAAAAA" w:sz="4"/>
              <w:bottom w:val="single" w:color="AAAAAA" w:sz="4"/>
              <w:right w:val="single" w:color="AAAAAA" w:sz="4"/>
            </w:tcBorders>
            <w:shd w:fill="F2F2F2" w:val="clear"/>
            <w:tcMar>
              <w:top w:type="dxa" w:w="100"/>
              <w:left w:type="dxa" w:w="160"/>
              <w:bottom w:type="dxa" w:w="100"/>
              <w:right w:type="dxa" w:w="160"/>
            </w:tcMar>
            <w:vAlign w:val="center"/>
          </w:tcPr>
          <w:p>
            <w:r>
              <w:rPr>
                <w:rFonts w:ascii="Arial" w:cs="Arial" w:eastAsia="Arial" w:hAnsi="Arial"/>
                <w:b/>
                <w:bCs/>
                <w:color w:val="1F4E79"/>
                <w:sz w:val="20"/>
                <w:szCs w:val="20"/>
              </w:rPr>
              <w:t xml:space="preserve">BİY.10.2.6</w:t>
            </w:r>
            <w:r>
              <w:rPr>
                <w:rFonts w:ascii="Arial" w:cs="Arial" w:eastAsia="Arial" w:hAnsi="Arial"/>
                <w:b/>
                <w:bCs/>
                <w:color w:val="555555"/>
                <w:sz w:val="20"/>
                <w:szCs w:val="20"/>
              </w:rPr>
              <w:t xml:space="preserve">   Kazanım: </w:t>
            </w:r>
            <w:r>
              <w:rPr>
                <w:rFonts w:ascii="Arial" w:cs="Arial" w:eastAsia="Arial" w:hAnsi="Arial"/>
                <w:b w:val="false"/>
                <w:bCs w:val="false"/>
                <w:color w:val="333333"/>
                <w:sz w:val="20"/>
                <w:szCs w:val="20"/>
              </w:rPr>
              <w:t xml:space="preserve">Çevresinde sürdürülebilirliği kısıtlayan durumlarla ilgili gözleme dayalı tahmin yapabilme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FFFFFF" w:val="clear"/>
            <w:tcMar>
              <w:top w:type="dxa" w:w="120"/>
              <w:left w:type="dxa" w:w="180"/>
              <w:bottom w:type="dxa" w:w="120"/>
              <w:right w:type="dxa" w:w="180"/>
            </w:tcMar>
          </w:tcPr>
          <w:p>
            <w:pPr>
              <w:spacing w:after="80" w:before="0"/>
            </w:pPr>
            <w:r>
              <w:rPr>
                <w:rFonts w:ascii="Arial" w:cs="Arial" w:eastAsia="Arial" w:hAnsi="Arial"/>
                <w:b/>
                <w:bCs/>
                <w:color w:val="C0392B"/>
                <w:sz w:val="22"/>
                <w:szCs w:val="22"/>
              </w:rPr>
              <w:t xml:space="preserve">Soru 6. </w:t>
            </w:r>
            <w:r>
              <w:rPr>
                <w:rFonts w:ascii="Arial" w:cs="Arial" w:eastAsia="Arial" w:hAnsi="Arial"/>
                <w:b w:val="false"/>
                <w:bCs w:val="false"/>
                <w:color w:val="111111"/>
                <w:sz w:val="22"/>
                <w:szCs w:val="22"/>
              </w:rPr>
              <w:t xml:space="preserve">Ege ve Akdeniz kıyılarında son yıllarda deniz suyu sıcaklığının artması ve yoğun turizm baskısı nedeniyle Posidonia (Posidonia oceanica) deniz çayırları ciddi biçimde tahrip olmaktadır. Posidonia çayırları; oksijen üretimi, CO₂ tutma ve pek çok deniz türü için üreme habitatı işlevi görmektedir. Bu bilgileri göz önünde bulundurarak: Posidonia çayırlarının tahrip olmasının ekolojik sürdürülebilirliği nasıl kısıtladığını gözleme dayalı bir tahminle açıklayınız. Yanıtınıza süksesyon kavramını ve habitat kaybının biyoçeşitlilik üzerindeki etkilerini mutlaka dahil ediniz.</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EAF4FB" w:val="clear"/>
            <w:tcMar>
              <w:top w:type="dxa" w:w="100"/>
              <w:left w:type="dxa" w:w="180"/>
              <w:bottom w:type="dxa" w:w="100"/>
              <w:right w:type="dxa" w:w="180"/>
            </w:tcMar>
          </w:tcPr>
          <w:p>
            <w:pPr>
              <w:spacing w:after="200" w:before="0"/>
            </w:pPr>
            <w:r>
              <w:rPr>
                <w:rFonts w:ascii="Arial" w:cs="Arial" w:eastAsia="Arial" w:hAnsi="Arial"/>
                <w:color w:val="2E75B6"/>
                <w:sz w:val="20"/>
                <w:szCs w:val="20"/>
              </w:rPr>
              <w:t xml:space="preserve">Cevabınız (Gözleme dayalı tahmin, süksesyon ve habitat kaybı):</w:t>
            </w:r>
          </w:p>
          <w:p>
            <w:pPr>
              <w:spacing w:after="300" w:before="0"/>
            </w:pPr>
            <w:r>
              <w:rPr>
                <w:sz w:val="22"/>
                <w:szCs w:val="22"/>
              </w:rPr>
              <w:t xml:space="preserve"> </w:t>
            </w:r>
          </w:p>
          <w:p>
            <w:pPr>
              <w:spacing w:after="300" w:before="0"/>
            </w:pPr>
            <w:r>
              <w:rPr>
                <w:sz w:val="22"/>
                <w:szCs w:val="22"/>
              </w:rPr>
              <w:t xml:space="preserve"> </w:t>
            </w:r>
          </w:p>
          <w:p>
            <w:pPr>
              <w:spacing w:after="0" w:before="0"/>
            </w:pPr>
            <w:r>
              <w:rPr>
                <w:sz w:val="22"/>
                <w:szCs w:val="22"/>
              </w:rPr>
              <w:t xml:space="preserve"> </w:t>
            </w:r>
          </w:p>
        </w:tc>
      </w:tr>
    </w:tbl>
    <w:p>
      <w:pPr>
        <w:spacing w:after="0" w:before="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AAAAAA" w:sz="4"/>
              <w:left w:val="single" w:color="AAAAAA" w:sz="4"/>
              <w:bottom w:val="single" w:color="AAAAAA" w:sz="4"/>
              <w:right w:val="single" w:color="AAAAAA" w:sz="4"/>
            </w:tcBorders>
            <w:shd w:fill="D6E4F0" w:val="clear"/>
            <w:tcMar>
              <w:top w:type="dxa" w:w="100"/>
              <w:left w:type="dxa" w:w="140"/>
              <w:bottom w:type="dxa" w:w="100"/>
              <w:right w:type="dxa" w:w="140"/>
            </w:tcMar>
            <w:vAlign w:val="center"/>
          </w:tcPr>
          <w:p>
            <w:pPr>
              <w:jc w:val="center"/>
            </w:pPr>
            <w:r>
              <w:rPr>
                <w:rFonts w:ascii="Arial" w:cs="Arial" w:eastAsia="Arial" w:hAnsi="Arial"/>
                <w:b/>
                <w:bCs/>
                <w:color w:val="1F4E79"/>
                <w:sz w:val="20"/>
                <w:szCs w:val="20"/>
              </w:rPr>
              <w:t xml:space="preserve">BÖLÜM 6</w:t>
            </w:r>
          </w:p>
        </w:tc>
        <w:tc>
          <w:tcPr>
            <w:tcW w:type="dxa" w:w="7960"/>
            <w:tcBorders>
              <w:top w:val="single" w:color="AAAAAA" w:sz="4"/>
              <w:left w:val="single" w:color="AAAAAA" w:sz="4"/>
              <w:bottom w:val="single" w:color="AAAAAA" w:sz="4"/>
              <w:right w:val="single" w:color="AAAAAA" w:sz="4"/>
            </w:tcBorders>
            <w:shd w:fill="F2F2F2" w:val="clear"/>
            <w:tcMar>
              <w:top w:type="dxa" w:w="100"/>
              <w:left w:type="dxa" w:w="160"/>
              <w:bottom w:type="dxa" w:w="100"/>
              <w:right w:type="dxa" w:w="160"/>
            </w:tcMar>
            <w:vAlign w:val="center"/>
          </w:tcPr>
          <w:p>
            <w:r>
              <w:rPr>
                <w:rFonts w:ascii="Arial" w:cs="Arial" w:eastAsia="Arial" w:hAnsi="Arial"/>
                <w:b/>
                <w:bCs/>
                <w:color w:val="1F4E79"/>
                <w:sz w:val="20"/>
                <w:szCs w:val="20"/>
              </w:rPr>
              <w:t xml:space="preserve">BİY.10.2.7</w:t>
            </w:r>
            <w:r>
              <w:rPr>
                <w:rFonts w:ascii="Arial" w:cs="Arial" w:eastAsia="Arial" w:hAnsi="Arial"/>
                <w:b/>
                <w:bCs/>
                <w:color w:val="555555"/>
                <w:sz w:val="20"/>
                <w:szCs w:val="20"/>
              </w:rPr>
              <w:t xml:space="preserve">   Kazanım: </w:t>
            </w:r>
            <w:r>
              <w:rPr>
                <w:rFonts w:ascii="Arial" w:cs="Arial" w:eastAsia="Arial" w:hAnsi="Arial"/>
                <w:b w:val="false"/>
                <w:bCs w:val="false"/>
                <w:color w:val="333333"/>
                <w:sz w:val="20"/>
                <w:szCs w:val="20"/>
              </w:rPr>
              <w:t xml:space="preserve">Ekolojik ayak izini küçültebilme yollarını bilimsel olarak sorgulayabilme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FFFFFF" w:val="clear"/>
            <w:tcMar>
              <w:top w:type="dxa" w:w="120"/>
              <w:left w:type="dxa" w:w="180"/>
              <w:bottom w:type="dxa" w:w="120"/>
              <w:right w:type="dxa" w:w="180"/>
            </w:tcMar>
          </w:tcPr>
          <w:p>
            <w:pPr>
              <w:spacing w:after="80" w:before="0"/>
            </w:pPr>
            <w:r>
              <w:rPr>
                <w:rFonts w:ascii="Arial" w:cs="Arial" w:eastAsia="Arial" w:hAnsi="Arial"/>
                <w:b/>
                <w:bCs/>
                <w:color w:val="C0392B"/>
                <w:sz w:val="22"/>
                <w:szCs w:val="22"/>
              </w:rPr>
              <w:t xml:space="preserve">Soru 7. </w:t>
            </w:r>
            <w:r>
              <w:rPr>
                <w:rFonts w:ascii="Arial" w:cs="Arial" w:eastAsia="Arial" w:hAnsi="Arial"/>
                <w:b w:val="false"/>
                <w:bCs w:val="false"/>
                <w:color w:val="111111"/>
                <w:sz w:val="22"/>
                <w:szCs w:val="22"/>
              </w:rPr>
              <w:t xml:space="preserve">Türkiye'de kişi başı elektrik tüketimi son 20 yılda iki katına çıkmış; bu artışın büyük bölümü fosil yakıt kaynaklı santrallerden karşılanmaktadır. (a) Ekolojik ayak izi kavramını bilimsel olarak tanımlayınız ve elektrik tüketiminin bu iz içindeki karbon bileşenini açıklayınız. (b) Bir hanenin aylık 300 kWh elektrik tüketimini %30 azaltması durumunda bu tasarrufun karbon döngüsü ve ekolojik ayak izi üzerindeki etkisini hesaplama mantığıyla sorgulayınız (Türkiye elektrik üretiminde 1 kWh ≈ 0,45 kg CO₂). (c) Bu ayak izini küçültmek için bilimsel temele dayanan ve günlük yaşamda uygulanabilir en az iki öneri geliştiriniz.</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EAF4FB" w:val="clear"/>
            <w:tcMar>
              <w:top w:type="dxa" w:w="100"/>
              <w:left w:type="dxa" w:w="180"/>
              <w:bottom w:type="dxa" w:w="100"/>
              <w:right w:type="dxa" w:w="180"/>
            </w:tcMar>
          </w:tcPr>
          <w:p>
            <w:pPr>
              <w:spacing w:after="200" w:before="0"/>
            </w:pPr>
            <w:r>
              <w:rPr>
                <w:rFonts w:ascii="Arial" w:cs="Arial" w:eastAsia="Arial" w:hAnsi="Arial"/>
                <w:color w:val="2E75B6"/>
                <w:sz w:val="20"/>
                <w:szCs w:val="20"/>
              </w:rPr>
              <w:t xml:space="preserve">Cevabınız (Ekolojik ayak izi, elektrik tüketimi analizi ve öneriler):</w:t>
            </w:r>
          </w:p>
          <w:p>
            <w:pPr>
              <w:spacing w:after="300" w:before="0"/>
            </w:pPr>
            <w:r>
              <w:rPr>
                <w:sz w:val="22"/>
                <w:szCs w:val="22"/>
              </w:rPr>
              <w:t xml:space="preserve"> </w:t>
            </w:r>
          </w:p>
          <w:p>
            <w:pPr>
              <w:spacing w:after="300" w:before="0"/>
            </w:pPr>
            <w:r>
              <w:rPr>
                <w:sz w:val="22"/>
                <w:szCs w:val="22"/>
              </w:rPr>
              <w:t xml:space="preserve"> </w:t>
            </w:r>
          </w:p>
          <w:p>
            <w:pPr>
              <w:spacing w:after="0" w:before="0"/>
            </w:pPr>
            <w:r>
              <w:rPr>
                <w:sz w:val="22"/>
                <w:szCs w:val="22"/>
              </w:rPr>
              <w:t xml:space="preserve"> </w:t>
            </w:r>
          </w:p>
        </w:tc>
      </w:tr>
    </w:tbl>
    <w:p>
      <w:pPr>
        <w:spacing w:after="0" w:before="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AAAAAA" w:sz="4"/>
              <w:left w:val="single" w:color="AAAAAA" w:sz="4"/>
              <w:bottom w:val="single" w:color="AAAAAA" w:sz="4"/>
              <w:right w:val="single" w:color="AAAAAA" w:sz="4"/>
            </w:tcBorders>
            <w:shd w:fill="D6E4F0" w:val="clear"/>
            <w:tcMar>
              <w:top w:type="dxa" w:w="100"/>
              <w:left w:type="dxa" w:w="140"/>
              <w:bottom w:type="dxa" w:w="100"/>
              <w:right w:type="dxa" w:w="140"/>
            </w:tcMar>
            <w:vAlign w:val="center"/>
          </w:tcPr>
          <w:p>
            <w:pPr>
              <w:jc w:val="center"/>
            </w:pPr>
            <w:r>
              <w:rPr>
                <w:rFonts w:ascii="Arial" w:cs="Arial" w:eastAsia="Arial" w:hAnsi="Arial"/>
                <w:b/>
                <w:bCs/>
                <w:color w:val="1F4E79"/>
                <w:sz w:val="20"/>
                <w:szCs w:val="20"/>
              </w:rPr>
              <w:t xml:space="preserve">BÖLÜM 7</w:t>
            </w:r>
          </w:p>
        </w:tc>
        <w:tc>
          <w:tcPr>
            <w:tcW w:type="dxa" w:w="7960"/>
            <w:tcBorders>
              <w:top w:val="single" w:color="AAAAAA" w:sz="4"/>
              <w:left w:val="single" w:color="AAAAAA" w:sz="4"/>
              <w:bottom w:val="single" w:color="AAAAAA" w:sz="4"/>
              <w:right w:val="single" w:color="AAAAAA" w:sz="4"/>
            </w:tcBorders>
            <w:shd w:fill="F2F2F2" w:val="clear"/>
            <w:tcMar>
              <w:top w:type="dxa" w:w="100"/>
              <w:left w:type="dxa" w:w="160"/>
              <w:bottom w:type="dxa" w:w="100"/>
              <w:right w:type="dxa" w:w="160"/>
            </w:tcMar>
            <w:vAlign w:val="center"/>
          </w:tcPr>
          <w:p>
            <w:r>
              <w:rPr>
                <w:rFonts w:ascii="Arial" w:cs="Arial" w:eastAsia="Arial" w:hAnsi="Arial"/>
                <w:b/>
                <w:bCs/>
                <w:color w:val="1F4E79"/>
                <w:sz w:val="20"/>
                <w:szCs w:val="20"/>
              </w:rPr>
              <w:t xml:space="preserve">BİY.10.2.8</w:t>
            </w:r>
            <w:r>
              <w:rPr>
                <w:rFonts w:ascii="Arial" w:cs="Arial" w:eastAsia="Arial" w:hAnsi="Arial"/>
                <w:b/>
                <w:bCs/>
                <w:color w:val="555555"/>
                <w:sz w:val="20"/>
                <w:szCs w:val="20"/>
              </w:rPr>
              <w:t xml:space="preserve">   Kazanım: </w:t>
            </w:r>
            <w:r>
              <w:rPr>
                <w:rFonts w:ascii="Arial" w:cs="Arial" w:eastAsia="Arial" w:hAnsi="Arial"/>
                <w:b w:val="false"/>
                <w:bCs w:val="false"/>
                <w:color w:val="333333"/>
                <w:sz w:val="20"/>
                <w:szCs w:val="20"/>
              </w:rPr>
              <w:t xml:space="preserve">Doğal kaynakların ve biyoçeşitliliğin korunması için alınan önlemleri sorgulayabilme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FFFFFF" w:val="clear"/>
            <w:tcMar>
              <w:top w:type="dxa" w:w="120"/>
              <w:left w:type="dxa" w:w="180"/>
              <w:bottom w:type="dxa" w:w="120"/>
              <w:right w:type="dxa" w:w="180"/>
            </w:tcMar>
          </w:tcPr>
          <w:p>
            <w:pPr>
              <w:spacing w:after="80" w:before="0"/>
            </w:pPr>
            <w:r>
              <w:rPr>
                <w:rFonts w:ascii="Arial" w:cs="Arial" w:eastAsia="Arial" w:hAnsi="Arial"/>
                <w:b/>
                <w:bCs/>
                <w:color w:val="C0392B"/>
                <w:sz w:val="22"/>
                <w:szCs w:val="22"/>
              </w:rPr>
              <w:t xml:space="preserve">Soru 8. </w:t>
            </w:r>
            <w:r>
              <w:rPr>
                <w:rFonts w:ascii="Arial" w:cs="Arial" w:eastAsia="Arial" w:hAnsi="Arial"/>
                <w:b w:val="false"/>
                <w:bCs w:val="false"/>
                <w:color w:val="111111"/>
                <w:sz w:val="22"/>
                <w:szCs w:val="22"/>
              </w:rPr>
              <w:t xml:space="preserve">CITES (Nesli Tehlike Altındaki Türlerin Uluslararası Ticareti Sözleşmesi) ve Türkiye'nin taraf olduğu Ramsar Sözleşmesi, doğal kaynakların ve biyoçeşitliliğin korunmasına yönelik uluslararası mekanizmalardır. Bu sözleşmeleri ekolojik sürdürülebilirlik çerçevesinde sorgulayınız: (a) CITES kapsamında ticari avcılığı kısıtlanan bir türün (ör. Akdeniz foku, deniz kaplumbağası) ekosistemden yok olmasının besin ağı ve madde döngüleri üzerindeki olası etkilerini açıklayınız. (b) Ramsar Sözleşmesi kapsamındaki sulak alanların korunmasının ekolojik sürdürülebilirliğe katkısını doğal kaynakların yenilenebilirlik ilkesiyle ilişkilendirerek değerlendiriniz.</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EAF4FB" w:val="clear"/>
            <w:tcMar>
              <w:top w:type="dxa" w:w="100"/>
              <w:left w:type="dxa" w:w="180"/>
              <w:bottom w:type="dxa" w:w="100"/>
              <w:right w:type="dxa" w:w="180"/>
            </w:tcMar>
          </w:tcPr>
          <w:p>
            <w:pPr>
              <w:spacing w:after="200" w:before="0"/>
            </w:pPr>
            <w:r>
              <w:rPr>
                <w:rFonts w:ascii="Arial" w:cs="Arial" w:eastAsia="Arial" w:hAnsi="Arial"/>
                <w:color w:val="2E75B6"/>
                <w:sz w:val="20"/>
                <w:szCs w:val="20"/>
              </w:rPr>
              <w:t xml:space="preserve">Cevabınız (CITES, Ramsar ve biyoçeşitlilik koruma sorgulaması):</w:t>
            </w:r>
          </w:p>
          <w:p>
            <w:pPr>
              <w:spacing w:after="300" w:before="0"/>
            </w:pPr>
            <w:r>
              <w:rPr>
                <w:sz w:val="22"/>
                <w:szCs w:val="22"/>
              </w:rPr>
              <w:t xml:space="preserve"> </w:t>
            </w:r>
          </w:p>
          <w:p>
            <w:pPr>
              <w:spacing w:after="300" w:before="0"/>
            </w:pPr>
            <w:r>
              <w:rPr>
                <w:sz w:val="22"/>
                <w:szCs w:val="22"/>
              </w:rPr>
              <w:t xml:space="preserve"> </w:t>
            </w:r>
          </w:p>
          <w:p>
            <w:pPr>
              <w:spacing w:after="0" w:before="0"/>
            </w:pPr>
            <w:r>
              <w:rPr>
                <w:sz w:val="22"/>
                <w:szCs w:val="22"/>
              </w:rPr>
              <w:t xml:space="preserve"> </w:t>
            </w:r>
          </w:p>
        </w:tc>
      </w:tr>
    </w:tbl>
    <w:p>
      <w:pPr>
        <w:spacing w:after="0" w:before="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AAAAAA" w:sz="4"/>
              <w:left w:val="single" w:color="AAAAAA" w:sz="4"/>
              <w:bottom w:val="single" w:color="AAAAAA" w:sz="4"/>
              <w:right w:val="single" w:color="AAAAAA" w:sz="4"/>
            </w:tcBorders>
            <w:shd w:fill="D6E4F0" w:val="clear"/>
            <w:tcMar>
              <w:top w:type="dxa" w:w="100"/>
              <w:left w:type="dxa" w:w="140"/>
              <w:bottom w:type="dxa" w:w="100"/>
              <w:right w:type="dxa" w:w="140"/>
            </w:tcMar>
            <w:vAlign w:val="center"/>
          </w:tcPr>
          <w:p>
            <w:pPr>
              <w:jc w:val="center"/>
            </w:pPr>
            <w:r>
              <w:rPr>
                <w:rFonts w:ascii="Arial" w:cs="Arial" w:eastAsia="Arial" w:hAnsi="Arial"/>
                <w:b/>
                <w:bCs/>
                <w:color w:val="1F4E79"/>
                <w:sz w:val="20"/>
                <w:szCs w:val="20"/>
              </w:rPr>
              <w:t xml:space="preserve">BÖLÜM 8</w:t>
            </w:r>
          </w:p>
        </w:tc>
        <w:tc>
          <w:tcPr>
            <w:tcW w:type="dxa" w:w="7960"/>
            <w:tcBorders>
              <w:top w:val="single" w:color="AAAAAA" w:sz="4"/>
              <w:left w:val="single" w:color="AAAAAA" w:sz="4"/>
              <w:bottom w:val="single" w:color="AAAAAA" w:sz="4"/>
              <w:right w:val="single" w:color="AAAAAA" w:sz="4"/>
            </w:tcBorders>
            <w:shd w:fill="F2F2F2" w:val="clear"/>
            <w:tcMar>
              <w:top w:type="dxa" w:w="100"/>
              <w:left w:type="dxa" w:w="160"/>
              <w:bottom w:type="dxa" w:w="100"/>
              <w:right w:type="dxa" w:w="160"/>
            </w:tcMar>
            <w:vAlign w:val="center"/>
          </w:tcPr>
          <w:p>
            <w:r>
              <w:rPr>
                <w:rFonts w:ascii="Arial" w:cs="Arial" w:eastAsia="Arial" w:hAnsi="Arial"/>
                <w:b/>
                <w:bCs/>
                <w:color w:val="1F4E79"/>
                <w:sz w:val="20"/>
                <w:szCs w:val="20"/>
              </w:rPr>
              <w:t xml:space="preserve">BİY.10.2.9</w:t>
            </w:r>
            <w:r>
              <w:rPr>
                <w:rFonts w:ascii="Arial" w:cs="Arial" w:eastAsia="Arial" w:hAnsi="Arial"/>
                <w:b/>
                <w:bCs/>
                <w:color w:val="555555"/>
                <w:sz w:val="20"/>
                <w:szCs w:val="20"/>
              </w:rPr>
              <w:t xml:space="preserve">   Kazanım: </w:t>
            </w:r>
            <w:r>
              <w:rPr>
                <w:rFonts w:ascii="Arial" w:cs="Arial" w:eastAsia="Arial" w:hAnsi="Arial"/>
                <w:b w:val="false"/>
                <w:bCs w:val="false"/>
                <w:color w:val="333333"/>
                <w:sz w:val="20"/>
                <w:szCs w:val="20"/>
              </w:rPr>
              <w:t xml:space="preserve">Çevresinde atık yönetimi konusunda yapılan çalışmalarla ilgili bilgi toplayabilme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FFFFFF" w:val="clear"/>
            <w:tcMar>
              <w:top w:type="dxa" w:w="120"/>
              <w:left w:type="dxa" w:w="180"/>
              <w:bottom w:type="dxa" w:w="120"/>
              <w:right w:type="dxa" w:w="180"/>
            </w:tcMar>
          </w:tcPr>
          <w:p>
            <w:pPr>
              <w:spacing w:after="80" w:before="0"/>
            </w:pPr>
            <w:r>
              <w:rPr>
                <w:rFonts w:ascii="Arial" w:cs="Arial" w:eastAsia="Arial" w:hAnsi="Arial"/>
                <w:b/>
                <w:bCs/>
                <w:color w:val="C0392B"/>
                <w:sz w:val="22"/>
                <w:szCs w:val="22"/>
              </w:rPr>
              <w:t xml:space="preserve">Soru 9. </w:t>
            </w:r>
            <w:r>
              <w:rPr>
                <w:rFonts w:ascii="Arial" w:cs="Arial" w:eastAsia="Arial" w:hAnsi="Arial"/>
                <w:b w:val="false"/>
                <w:bCs w:val="false"/>
                <w:color w:val="111111"/>
                <w:sz w:val="22"/>
                <w:szCs w:val="22"/>
              </w:rPr>
              <w:t xml:space="preserve">Türkiye'de 2021 yılında hayata geçirilen 'Sıfır Atık' projesi kapsamında geri dönüşüm oranlarının artırılması ve düzenli depolama alanlarının ıslahı hedeflenmektedir. Plastik atıklar özellikle deniz ekosistemlerinde ciddi bir kirlilik kaynağı oluşturmaktadır. Bu bilgileri kullanarak: (a) Plastik atıkların deniz ekosistemlerine karışmasının mikroplastikler aracılığıyla besin zincirine girişini ve biyolojik birikim boyutunu açıklayınız. (b) Yaşadığınız çevrede veya Türkiye genelinde yürütülen atık yönetimi uygulamalarından (Sıfır Atık, geri dönüşüm noktaları, biyoremediasyon vb.) en az ikisini örnek vererek bu uygulamaların madde döngülerine ve ekolojik sürdürülebilirliğe katkısını değerlendiriniz.</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EAF4FB" w:val="clear"/>
            <w:tcMar>
              <w:top w:type="dxa" w:w="100"/>
              <w:left w:type="dxa" w:w="180"/>
              <w:bottom w:type="dxa" w:w="100"/>
              <w:right w:type="dxa" w:w="180"/>
            </w:tcMar>
          </w:tcPr>
          <w:p>
            <w:pPr>
              <w:spacing w:after="200" w:before="0"/>
            </w:pPr>
            <w:r>
              <w:rPr>
                <w:rFonts w:ascii="Arial" w:cs="Arial" w:eastAsia="Arial" w:hAnsi="Arial"/>
                <w:color w:val="2E75B6"/>
                <w:sz w:val="20"/>
                <w:szCs w:val="20"/>
              </w:rPr>
              <w:t xml:space="preserve">Cevabınız (Plastik kirlilik, biyolojik birikim ve atık yönetimi):</w:t>
            </w:r>
          </w:p>
          <w:p>
            <w:pPr>
              <w:spacing w:after="300" w:before="0"/>
            </w:pPr>
            <w:r>
              <w:rPr>
                <w:sz w:val="22"/>
                <w:szCs w:val="22"/>
              </w:rPr>
              <w:t xml:space="preserve"> </w:t>
            </w:r>
          </w:p>
          <w:p>
            <w:pPr>
              <w:spacing w:after="300" w:before="0"/>
            </w:pPr>
            <w:r>
              <w:rPr>
                <w:sz w:val="22"/>
                <w:szCs w:val="22"/>
              </w:rPr>
              <w:t xml:space="preserve"> </w:t>
            </w:r>
          </w:p>
          <w:p>
            <w:pPr>
              <w:spacing w:after="0" w:before="0"/>
            </w:pPr>
            <w:r>
              <w:rPr>
                <w:sz w:val="22"/>
                <w:szCs w:val="22"/>
              </w:rPr>
              <w:t xml:space="preserve"> </w:t>
            </w:r>
          </w:p>
        </w:tc>
      </w:tr>
    </w:tbl>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1F4E79" w:val="clear"/>
            <w:tcMar>
              <w:top w:type="dxa" w:w="120"/>
              <w:left w:type="dxa" w:w="160"/>
              <w:bottom w:type="dxa" w:w="120"/>
              <w:right w:type="dxa" w:w="160"/>
            </w:tcMar>
          </w:tcPr>
          <w:p>
            <w:pPr>
              <w:jc w:val="center"/>
            </w:pPr>
            <w:r>
              <w:rPr>
                <w:rFonts w:ascii="Arial" w:cs="Arial" w:eastAsia="Arial" w:hAnsi="Arial"/>
                <w:b/>
                <w:bCs/>
                <w:color w:val="FFFFFF"/>
                <w:sz w:val="26"/>
                <w:szCs w:val="26"/>
              </w:rPr>
              <w:t xml:space="preserve">CEVAP ANAHTARI — SENARYO 5</w:t>
            </w:r>
          </w:p>
          <w:p>
            <w:pPr>
              <w:jc w:val="center"/>
            </w:pPr>
            <w:r>
              <w:rPr>
                <w:rFonts w:ascii="Arial" w:cs="Arial" w:eastAsia="Arial" w:hAnsi="Arial"/>
                <w:b w:val="false"/>
                <w:bCs w:val="false"/>
                <w:color w:val="D6E4F0"/>
                <w:sz w:val="20"/>
                <w:szCs w:val="20"/>
              </w:rPr>
              <w:t xml:space="preserve">10. Sınıf Biyoloji │ Tema 2: Ekoloji</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D6E4F0" w:val="clear"/>
            <w:tcMar>
              <w:top w:type="dxa" w:w="80"/>
              <w:left w:type="dxa" w:w="160"/>
              <w:bottom w:type="dxa" w:w="80"/>
              <w:right w:type="dxa" w:w="160"/>
            </w:tcMar>
          </w:tcPr>
          <w:p>
            <w:r>
              <w:rPr>
                <w:rFonts w:ascii="Arial" w:cs="Arial" w:eastAsia="Arial" w:hAnsi="Arial"/>
                <w:b/>
                <w:bCs/>
                <w:color w:val="1F4E79"/>
                <w:sz w:val="21"/>
                <w:szCs w:val="21"/>
              </w:rPr>
              <w:t xml:space="preserve">Soru 1 — Beklenen Yanıt (BİY.10.2.2):</w:t>
            </w:r>
          </w:p>
        </w:tc>
      </w:tr>
      <w:tr>
        <w:tc>
          <w:tcPr>
            <w:tcW w:type="dxa" w:w="9360"/>
            <w:tcBorders>
              <w:top w:val="single" w:color="AAAAAA" w:sz="4"/>
              <w:left w:val="single" w:color="AAAAAA" w:sz="4"/>
              <w:bottom w:val="single" w:color="AAAAAA" w:sz="4"/>
              <w:right w:val="single" w:color="AAAAAA" w:sz="4"/>
            </w:tcBorders>
            <w:shd w:fill="FFFFFF" w:val="clear"/>
            <w:tcMar>
              <w:top w:type="dxa" w:w="100"/>
              <w:left w:type="dxa" w:w="180"/>
              <w:bottom w:type="dxa" w:w="100"/>
              <w:right w:type="dxa" w:w="180"/>
            </w:tcMar>
          </w:tcPr>
          <w:p>
            <w:pPr>
              <w:spacing w:after="60" w:before="60"/>
            </w:pPr>
            <w:r>
              <w:rPr>
                <w:rFonts w:ascii="Arial" w:cs="Arial" w:eastAsia="Arial" w:hAnsi="Arial"/>
                <w:color w:val="111111"/>
                <w:sz w:val="21"/>
                <w:szCs w:val="21"/>
              </w:rPr>
              <w:t xml:space="preserve">Kurt popülasyonunun artışıyla birlikte av türleri (yaban keçisi, alageyik) üzerindeki avcılık baskısı yükselir; bu türlerin popülasyonları azalır. Kısa vadede: av türleri taşıma kapasitesinin altına düşer, habitatın bitkisel örtüsü toparlanır; av türleri azaldıkça kurtlar arasında tür içi rekabet artar (besin ve alan için). Uzun vadede: av-avcı dinamiği döngüsel dalgalanmaya girer (Lotka-Volterra modeli); av azalınca avcı da azalır, av toparlanınca avcı tekrar artar. Türler arası rekabet boyutuyla: kurt baskısı altındaki yaban keçisi ve alageyikler farklı habitatlara yönelebilir, bu durum diğer otçul türlerle besin ve alan rekabetini değiştirebilir. Taşıma kapasitesi bağlantısı: Her iki türün bireysel taşıma kapasitesi, habitatın besin kaynakları ve alan kapasitesiyle belirlenir; kurt baskısı fiilen çevre direnci işlevi görerek av popülasyonunu taşıma kapasitesinin altında tutar.</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D6E4F0" w:val="clear"/>
            <w:tcMar>
              <w:top w:type="dxa" w:w="80"/>
              <w:left w:type="dxa" w:w="160"/>
              <w:bottom w:type="dxa" w:w="80"/>
              <w:right w:type="dxa" w:w="160"/>
            </w:tcMar>
          </w:tcPr>
          <w:p>
            <w:r>
              <w:rPr>
                <w:rFonts w:ascii="Arial" w:cs="Arial" w:eastAsia="Arial" w:hAnsi="Arial"/>
                <w:b/>
                <w:bCs/>
                <w:color w:val="1F4E79"/>
                <w:sz w:val="21"/>
                <w:szCs w:val="21"/>
              </w:rPr>
              <w:t xml:space="preserve">Soru 2 — Beklenen Yanıt (BİY.10.2.3):</w:t>
            </w:r>
          </w:p>
        </w:tc>
      </w:tr>
      <w:tr>
        <w:tc>
          <w:tcPr>
            <w:tcW w:type="dxa" w:w="9360"/>
            <w:tcBorders>
              <w:top w:val="single" w:color="AAAAAA" w:sz="4"/>
              <w:left w:val="single" w:color="AAAAAA" w:sz="4"/>
              <w:bottom w:val="single" w:color="AAAAAA" w:sz="4"/>
              <w:right w:val="single" w:color="AAAAAA" w:sz="4"/>
            </w:tcBorders>
            <w:shd w:fill="FFFFFF" w:val="clear"/>
            <w:tcMar>
              <w:top w:type="dxa" w:w="100"/>
              <w:left w:type="dxa" w:w="180"/>
              <w:bottom w:type="dxa" w:w="100"/>
              <w:right w:type="dxa" w:w="180"/>
            </w:tcMar>
          </w:tcPr>
          <w:p>
            <w:pPr>
              <w:spacing w:after="60" w:before="60"/>
            </w:pPr>
            <w:r>
              <w:rPr>
                <w:rFonts w:ascii="Arial" w:cs="Arial" w:eastAsia="Arial" w:hAnsi="Arial"/>
                <w:color w:val="111111"/>
                <w:sz w:val="21"/>
                <w:szCs w:val="21"/>
              </w:rPr>
              <w:t xml:space="preserve">(a) Termodinamiğin ikinci yasasına göre her enerji aktarımında sistemdeki enerjinin bir kısmı ısıya dönüşerek kullanılamaz hâle gelir. Deniz kestanesi, deniz yosunundan aldığı enerjinin yaklaşık %90'ını solunum, hareket, büyüme ve sindirilemeyen atık biçiminde harcar; yalnızca ~%10'unu biyokütlesine katar. Bu kural her basamakta yinelenir (%10 Yasası). Dolayısıyla Akdeniz fokuna ulaşan enerji, deniz yosunundaki başlangıç enerjisinin yaklaşık on binde biri kadardır.</w:t>
            </w:r>
          </w:p>
          <w:p>
            <w:pPr>
              <w:spacing w:after="60" w:before="60"/>
            </w:pPr>
            <w:r>
              <w:rPr>
                <w:rFonts w:ascii="Arial" w:cs="Arial" w:eastAsia="Arial" w:hAnsi="Arial"/>
                <w:color w:val="111111"/>
                <w:sz w:val="21"/>
                <w:szCs w:val="21"/>
              </w:rPr>
              <w:t xml:space="preserve">(b) Ahtapot popülasyonu yarı yarıya azalınca: Deniz kestanesi üzerindeki avcılık baskısı düşer → deniz kestanesi sayısı geçici olarak artar → deniz yosunları üzerindeki otlama baskısı yükselir, yosun biyokütlesi azalabilir. Orkinoz ise besin kaynağını (ahtapot) yitirdiğinden besin bulmakta güçlük çeker → orkinoz sayısı azalır → Akdeniz fokuna yönelik besin akışı daralır. Tümevarımsal genelleme: Bir ara trofik basamaktaki ani değişim, hem alt hem üst basamakları eş zamanlı ve zıt yönlerde etkiler; bu 'trofik basamak dalgalanması' her ekosisteme uyarlanabilir.</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D6E4F0" w:val="clear"/>
            <w:tcMar>
              <w:top w:type="dxa" w:w="80"/>
              <w:left w:type="dxa" w:w="160"/>
              <w:bottom w:type="dxa" w:w="80"/>
              <w:right w:type="dxa" w:w="160"/>
            </w:tcMar>
          </w:tcPr>
          <w:p>
            <w:r>
              <w:rPr>
                <w:rFonts w:ascii="Arial" w:cs="Arial" w:eastAsia="Arial" w:hAnsi="Arial"/>
                <w:b/>
                <w:bCs/>
                <w:color w:val="1F4E79"/>
                <w:sz w:val="21"/>
                <w:szCs w:val="21"/>
              </w:rPr>
              <w:t xml:space="preserve">Soru 3 — Beklenen Yanıt (BİY.10.2.4):</w:t>
            </w:r>
          </w:p>
        </w:tc>
      </w:tr>
      <w:tr>
        <w:tc>
          <w:tcPr>
            <w:tcW w:type="dxa" w:w="9360"/>
            <w:tcBorders>
              <w:top w:val="single" w:color="AAAAAA" w:sz="4"/>
              <w:left w:val="single" w:color="AAAAAA" w:sz="4"/>
              <w:bottom w:val="single" w:color="AAAAAA" w:sz="4"/>
              <w:right w:val="single" w:color="AAAAAA" w:sz="4"/>
            </w:tcBorders>
            <w:shd w:fill="FFFFFF" w:val="clear"/>
            <w:tcMar>
              <w:top w:type="dxa" w:w="100"/>
              <w:left w:type="dxa" w:w="180"/>
              <w:bottom w:type="dxa" w:w="100"/>
              <w:right w:type="dxa" w:w="180"/>
            </w:tcMar>
          </w:tcPr>
          <w:p>
            <w:pPr>
              <w:spacing w:after="60" w:before="60"/>
            </w:pPr>
            <w:r>
              <w:rPr>
                <w:rFonts w:ascii="Arial" w:cs="Arial" w:eastAsia="Arial" w:hAnsi="Arial"/>
                <w:color w:val="111111"/>
                <w:sz w:val="21"/>
                <w:szCs w:val="21"/>
              </w:rPr>
              <w:t xml:space="preserve">(a) Azot döngüsü modeli: N₂ (atmosfer) → Azot fiksasyonu (Rhizobium/yıldırım) → NH₄⁺ (amonyum) → Nitrifikasyon (bakteri) → NO₃⁻ (nitrat) → Bitki alımı → Tüketiciler → Ölü organik madde → Amonyaklaşma → NH₃/NH₄⁺ → Denitrifikasyon (bakteri) → N₂ (atmosfere). Biyosfer-2'de denitrifikasyon bakterilerinin yeterince çalışmaması durumunda nitrat ve azot oksit (N₂O) birikimi kaçınılmazdır; N₂O solunumu baskılar ve canlıların sinir sistemini etkiler.</w:t>
            </w:r>
          </w:p>
          <w:p>
            <w:pPr>
              <w:spacing w:after="60" w:before="60"/>
            </w:pPr>
            <w:r>
              <w:rPr>
                <w:rFonts w:ascii="Arial" w:cs="Arial" w:eastAsia="Arial" w:hAnsi="Arial"/>
                <w:color w:val="111111"/>
                <w:sz w:val="21"/>
                <w:szCs w:val="21"/>
              </w:rPr>
              <w:t xml:space="preserve">(b) Rhizobium-baklagil mutualizmi, atmosferik N₂'yi bitkinin kullanabileceği NH₄⁺ formuna dönüştürür (azot fiksasyonu). Bu ilişki olmaksızın kapalı ekosistemdeki tek azot kaynağı yıldırım/şimşek gibi atmosferik olaylardır; bunlar Biyosfer-2 gibi kapalı ortamlarda mevcut değildir. Azot fiksasyonu yetersiz kalınca bitkiler azot açığı yaşar → fotosentez kapasitesi düşer → O₂ üretimi azalır → CO₂ birikir → ekosistem çöker. Modelde 'fiksasyon' basamağının kaldırılması döngünün başlangıç noktasını yok eder.</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D6E4F0" w:val="clear"/>
            <w:tcMar>
              <w:top w:type="dxa" w:w="80"/>
              <w:left w:type="dxa" w:w="160"/>
              <w:bottom w:type="dxa" w:w="80"/>
              <w:right w:type="dxa" w:w="160"/>
            </w:tcMar>
          </w:tcPr>
          <w:p>
            <w:r>
              <w:rPr>
                <w:rFonts w:ascii="Arial" w:cs="Arial" w:eastAsia="Arial" w:hAnsi="Arial"/>
                <w:b/>
                <w:bCs/>
                <w:color w:val="1F4E79"/>
                <w:sz w:val="21"/>
                <w:szCs w:val="21"/>
              </w:rPr>
              <w:t xml:space="preserve">Soru 4 — Beklenen Yanıt (BİY.10.2.4):</w:t>
            </w:r>
          </w:p>
        </w:tc>
      </w:tr>
      <w:tr>
        <w:tc>
          <w:tcPr>
            <w:tcW w:type="dxa" w:w="9360"/>
            <w:tcBorders>
              <w:top w:val="single" w:color="AAAAAA" w:sz="4"/>
              <w:left w:val="single" w:color="AAAAAA" w:sz="4"/>
              <w:bottom w:val="single" w:color="AAAAAA" w:sz="4"/>
              <w:right w:val="single" w:color="AAAAAA" w:sz="4"/>
            </w:tcBorders>
            <w:shd w:fill="FFFFFF" w:val="clear"/>
            <w:tcMar>
              <w:top w:type="dxa" w:w="100"/>
              <w:left w:type="dxa" w:w="180"/>
              <w:bottom w:type="dxa" w:w="100"/>
              <w:right w:type="dxa" w:w="180"/>
            </w:tcMar>
          </w:tcPr>
          <w:p>
            <w:pPr>
              <w:spacing w:after="60" w:before="60"/>
            </w:pPr>
            <w:r>
              <w:rPr>
                <w:rFonts w:ascii="Arial" w:cs="Arial" w:eastAsia="Arial" w:hAnsi="Arial"/>
                <w:color w:val="111111"/>
                <w:sz w:val="21"/>
                <w:szCs w:val="21"/>
              </w:rPr>
              <w:t xml:space="preserve">(a) Azot döngüsü modeliyle müsilaj: Tarımsal ve evsel atıkların taşıdığı fazla nitrat (NO₃⁻) ve amonyum (NH₄⁺) suya karışır → nitrifikasyon ürünleri fitoplankton için besin kaynağına dönüşür → fitoplankton patlaması (ötrofikasyon) başlar → su yüzeyini kaplayan alg tabakası oksijen ve ışığı engeller → alt katmanlarda denitrifikasyon yerine anaerobik ayrışma artar → H₂S ve toksik gazlar açığa çıkar; denitrifikasyon denge dışına çıkmış olur.</w:t>
            </w:r>
          </w:p>
          <w:p>
            <w:pPr>
              <w:spacing w:after="60" w:before="60"/>
            </w:pPr>
            <w:r>
              <w:rPr>
                <w:rFonts w:ascii="Arial" w:cs="Arial" w:eastAsia="Arial" w:hAnsi="Arial"/>
                <w:color w:val="111111"/>
                <w:sz w:val="21"/>
                <w:szCs w:val="21"/>
              </w:rPr>
              <w:t xml:space="preserve">(b) Karbon döngüsü boyutu: Fitoplankton patlaması başlangıçta fotosentezi artırır → atmosferden CO₂ çekilir. Ancak alglerin ölüp çökmesiyle ayrıştırıcı bakteriler devreye girer → solunum yoluyla büyük miktarda CO₂ suya (ve kısmen atmosfere) salınır → net karbon emisyonu pozitife döner. Su içinde çözünmüş CO₂ artışı asidifikasyona (pH düşüşü) yol açar → kabuklu ve mercan türleri zarar görür. Sonuç: Müsilaj, azot fazlalığı yoluyla hem azot hem karbon döngüsünü eş zamanlı bozar.</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D6E4F0" w:val="clear"/>
            <w:tcMar>
              <w:top w:type="dxa" w:w="80"/>
              <w:left w:type="dxa" w:w="160"/>
              <w:bottom w:type="dxa" w:w="80"/>
              <w:right w:type="dxa" w:w="160"/>
            </w:tcMar>
          </w:tcPr>
          <w:p>
            <w:r>
              <w:rPr>
                <w:rFonts w:ascii="Arial" w:cs="Arial" w:eastAsia="Arial" w:hAnsi="Arial"/>
                <w:b/>
                <w:bCs/>
                <w:color w:val="1F4E79"/>
                <w:sz w:val="21"/>
                <w:szCs w:val="21"/>
              </w:rPr>
              <w:t xml:space="preserve">Soru 5 — Beklenen Yanıt (BİY.10.2.5):</w:t>
            </w:r>
          </w:p>
        </w:tc>
      </w:tr>
      <w:tr>
        <w:tc>
          <w:tcPr>
            <w:tcW w:type="dxa" w:w="9360"/>
            <w:tcBorders>
              <w:top w:val="single" w:color="AAAAAA" w:sz="4"/>
              <w:left w:val="single" w:color="AAAAAA" w:sz="4"/>
              <w:bottom w:val="single" w:color="AAAAAA" w:sz="4"/>
              <w:right w:val="single" w:color="AAAAAA" w:sz="4"/>
            </w:tcBorders>
            <w:shd w:fill="FFFFFF" w:val="clear"/>
            <w:tcMar>
              <w:top w:type="dxa" w:w="100"/>
              <w:left w:type="dxa" w:w="180"/>
              <w:bottom w:type="dxa" w:w="100"/>
              <w:right w:type="dxa" w:w="180"/>
            </w:tcMar>
          </w:tcPr>
          <w:p>
            <w:pPr>
              <w:spacing w:after="60" w:before="60"/>
            </w:pPr>
            <w:r>
              <w:rPr>
                <w:rFonts w:ascii="Arial" w:cs="Arial" w:eastAsia="Arial" w:hAnsi="Arial"/>
                <w:color w:val="111111"/>
                <w:sz w:val="21"/>
                <w:szCs w:val="21"/>
              </w:rPr>
              <w:t xml:space="preserve">(a) 'Net sıfır', atmosfere salınan CO₂ miktarının karbon yutakları (ormanlar, okyanuslar) tarafından emilen miktara eşitlenmesi anlamına gelir; yani karbon döngüsünün insan kaynaklı bozulmasının durdurulmasıdır. Bu hedefe ulaşılamaması durumunda: Kısa vade → sıcaklık artışı, aşırı hava olayları (sel, kuraklık), deniz seviyesi yükselişi; sulak alanlar taşkın riskiyle karşı karşıya kalır, mercan resifleri ağartılır. Uzun vade → buzulların erimesiyle kıyı ekosistemleri ve tatlı su kaynakları azalır; ormanların taşıma kapasitesi bozulur, kitlesel tür kayıpları yaşanır.</w:t>
            </w:r>
          </w:p>
          <w:p>
            <w:pPr>
              <w:spacing w:after="60" w:before="60"/>
            </w:pPr>
            <w:r>
              <w:rPr>
                <w:rFonts w:ascii="Arial" w:cs="Arial" w:eastAsia="Arial" w:hAnsi="Arial"/>
                <w:color w:val="111111"/>
                <w:sz w:val="21"/>
                <w:szCs w:val="21"/>
              </w:rPr>
              <w:t xml:space="preserve">(b) Brundtland tanımı: 'Bugünün ihtiyaçlarını, gelecek kuşakların ihtiyaçlarını karşılama kapasitesinden ödün vermeden karşılayan kalkınma.' Paris Antlaşması bu tanımı operasyonelleştirir: Bugün fosil yakıt kullanımını sınırlayarak (mevcut neslin tercihi) atmosferik CO₂ birikimiyle bozulacak iklim sistemini gelecek nesillere işler hâlde bırakmayı hedefler. Net sıfır taahhüdü; enerji, ulaşım ve endüstri sektörlerinde yenilenebilir kaynağa geçişi zorunlu kılarak ekolojik sürdürülebilirliği somut politikaya dönüştürür.</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D6E4F0" w:val="clear"/>
            <w:tcMar>
              <w:top w:type="dxa" w:w="80"/>
              <w:left w:type="dxa" w:w="160"/>
              <w:bottom w:type="dxa" w:w="80"/>
              <w:right w:type="dxa" w:w="160"/>
            </w:tcMar>
          </w:tcPr>
          <w:p>
            <w:r>
              <w:rPr>
                <w:rFonts w:ascii="Arial" w:cs="Arial" w:eastAsia="Arial" w:hAnsi="Arial"/>
                <w:b/>
                <w:bCs/>
                <w:color w:val="1F4E79"/>
                <w:sz w:val="21"/>
                <w:szCs w:val="21"/>
              </w:rPr>
              <w:t xml:space="preserve">Soru 6 — Beklenen Yanıt (BİY.10.2.6):</w:t>
            </w:r>
          </w:p>
        </w:tc>
      </w:tr>
      <w:tr>
        <w:tc>
          <w:tcPr>
            <w:tcW w:type="dxa" w:w="9360"/>
            <w:tcBorders>
              <w:top w:val="single" w:color="AAAAAA" w:sz="4"/>
              <w:left w:val="single" w:color="AAAAAA" w:sz="4"/>
              <w:bottom w:val="single" w:color="AAAAAA" w:sz="4"/>
              <w:right w:val="single" w:color="AAAAAA" w:sz="4"/>
            </w:tcBorders>
            <w:shd w:fill="FFFFFF" w:val="clear"/>
            <w:tcMar>
              <w:top w:type="dxa" w:w="100"/>
              <w:left w:type="dxa" w:w="180"/>
              <w:bottom w:type="dxa" w:w="100"/>
              <w:right w:type="dxa" w:w="180"/>
            </w:tcMar>
          </w:tcPr>
          <w:p>
            <w:pPr>
              <w:spacing w:after="60" w:before="60"/>
            </w:pPr>
            <w:r>
              <w:rPr>
                <w:rFonts w:ascii="Arial" w:cs="Arial" w:eastAsia="Arial" w:hAnsi="Arial"/>
                <w:color w:val="111111"/>
                <w:sz w:val="21"/>
                <w:szCs w:val="21"/>
              </w:rPr>
              <w:t xml:space="preserve">Posidonia çayırlarının tahribi → habitat kaybı başlar: üreme ve beslenme ortamı yok olan deniz türleri (balıklar, omurgasızlar) bölgeyi terk eder ya da yok olur → biyoçeşitlilik düşer → besin zincirinin alt basamakları zayıflar → üst tüketiciler (Akdeniz foku, balıkçıl kuşlar) besin kaybıyla karşılaşır. Oksijen üretimi azalınca sucul ortam hipoksik hâle gelebilir; CO₂ tutma kapasitesi düşünce karbon döngüsüne olumsuz katkı sağlanır.</w:t>
            </w:r>
          </w:p>
          <w:p>
            <w:pPr>
              <w:spacing w:after="60" w:before="60"/>
            </w:pPr>
            <w:r>
              <w:rPr>
                <w:rFonts w:ascii="Arial" w:cs="Arial" w:eastAsia="Arial" w:hAnsi="Arial"/>
                <w:color w:val="111111"/>
                <w:sz w:val="21"/>
                <w:szCs w:val="21"/>
              </w:rPr>
              <w:t xml:space="preserve">Süksesyon boyutu: Posidonia çayırı yok olduğunda fırsatçı alg türleri (öncü türler) alanı istila eder; ancak bu türler Posidonia'nın ekosistem işlevlerini (oksijen üretimi, CO₂ tutma, habitat) karşılayamaz. Posidonia'nın doğal yenilenme hızı çok yavaştır (yılda birkaç cm); bu nedenle tahribat sonrası ikincil süksesyon yüzlerce yıl sürebilir. Sürdürülebilirliği kısıtlayan etkenler: Sıcaklık artışı → yenilenme hızının azalması; turizm baskısı → tekne çapası hasarı; bu iki etken birbiriyle bileşik etki yaratır. Gözleme dayalı tahmin: Koruma önlemleri alınmadan 50 yıl içinde bölgedeki Posidonia örtüsünün yarıya ineceği ve bu süreçte ticari balıkçılığın da çökeceği öngörülebilir.</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D6E4F0" w:val="clear"/>
            <w:tcMar>
              <w:top w:type="dxa" w:w="80"/>
              <w:left w:type="dxa" w:w="160"/>
              <w:bottom w:type="dxa" w:w="80"/>
              <w:right w:type="dxa" w:w="160"/>
            </w:tcMar>
          </w:tcPr>
          <w:p>
            <w:r>
              <w:rPr>
                <w:rFonts w:ascii="Arial" w:cs="Arial" w:eastAsia="Arial" w:hAnsi="Arial"/>
                <w:b/>
                <w:bCs/>
                <w:color w:val="1F4E79"/>
                <w:sz w:val="21"/>
                <w:szCs w:val="21"/>
              </w:rPr>
              <w:t xml:space="preserve">Soru 7 — Beklenen Yanıt (BİY.10.2.7):</w:t>
            </w:r>
          </w:p>
        </w:tc>
      </w:tr>
      <w:tr>
        <w:tc>
          <w:tcPr>
            <w:tcW w:type="dxa" w:w="9360"/>
            <w:tcBorders>
              <w:top w:val="single" w:color="AAAAAA" w:sz="4"/>
              <w:left w:val="single" w:color="AAAAAA" w:sz="4"/>
              <w:bottom w:val="single" w:color="AAAAAA" w:sz="4"/>
              <w:right w:val="single" w:color="AAAAAA" w:sz="4"/>
            </w:tcBorders>
            <w:shd w:fill="FFFFFF" w:val="clear"/>
            <w:tcMar>
              <w:top w:type="dxa" w:w="100"/>
              <w:left w:type="dxa" w:w="180"/>
              <w:bottom w:type="dxa" w:w="100"/>
              <w:right w:type="dxa" w:w="180"/>
            </w:tcMar>
          </w:tcPr>
          <w:p>
            <w:pPr>
              <w:spacing w:after="60" w:before="60"/>
            </w:pPr>
            <w:r>
              <w:rPr>
                <w:rFonts w:ascii="Arial" w:cs="Arial" w:eastAsia="Arial" w:hAnsi="Arial"/>
                <w:color w:val="111111"/>
                <w:sz w:val="21"/>
                <w:szCs w:val="21"/>
              </w:rPr>
              <w:t xml:space="preserve">(a) Ekolojik ayak izi: Bir bireyin yaşam standardını sürdürmek için ihtiyaç duyduğu biyolojik olarak üretken arazi ve su alanının toplamıdır (küresel hektar). Karbon bileşeni: Fosil yakıt kullanımından kaynaklanan CO₂ salımlarının ormanlar tarafından absorbe edilmesi için gereken alan miktarını ifade eder.</w:t>
            </w:r>
          </w:p>
          <w:p>
            <w:pPr>
              <w:spacing w:after="60" w:before="60"/>
            </w:pPr>
            <w:r>
              <w:rPr>
                <w:rFonts w:ascii="Arial" w:cs="Arial" w:eastAsia="Arial" w:hAnsi="Arial"/>
                <w:color w:val="111111"/>
                <w:sz w:val="21"/>
                <w:szCs w:val="21"/>
              </w:rPr>
              <w:t xml:space="preserve">(b) Hesaplama mantığı: 300 kWh/ay × 0,45 kg CO₂/kWh = 135 kg CO₂/ay. %30 tasarruf → 90 kWh azaltma → 90 × 0,45 = 40,5 kg CO₂/ay tasarruf (yıllık ~486 kg CO₂). Karbon döngüsüne etkisi: Atmosfere salınmayan bu CO₂ miktarı, karbon döngüsündeki 'fosil yakıt → atmosfer' akışını zayıflatır; böylece döngünün doğal dengesi (fotosentez-solunum) üzerindeki baskı hafifler. Ekolojik ayak izi doğrudan küçülür.</w:t>
            </w:r>
          </w:p>
          <w:p>
            <w:pPr>
              <w:spacing w:after="60" w:before="60"/>
            </w:pPr>
            <w:r>
              <w:rPr>
                <w:rFonts w:ascii="Arial" w:cs="Arial" w:eastAsia="Arial" w:hAnsi="Arial"/>
                <w:color w:val="111111"/>
                <w:sz w:val="21"/>
                <w:szCs w:val="21"/>
              </w:rPr>
              <w:t xml:space="preserve">(c) Öneri 1: Güneş paneli ya da yenilenebilir enerji tarifelerine geçmek — fosil yakıt yakılmasını kaynağında önler, karbon ayak izini sıfıra yaklaştırır. Öneri 2: Enerji verimliliği yüksek (A+++) ev aletleri kullanmak — aynı hizmeti daha az elektrikle sağlar, tüketimi kaynağında azaltır. Her iki öneri de karbon döngüsüne yapılan insan baskısını bilimsel olarak azaltmaktadır.</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D6E4F0" w:val="clear"/>
            <w:tcMar>
              <w:top w:type="dxa" w:w="80"/>
              <w:left w:type="dxa" w:w="160"/>
              <w:bottom w:type="dxa" w:w="80"/>
              <w:right w:type="dxa" w:w="160"/>
            </w:tcMar>
          </w:tcPr>
          <w:p>
            <w:r>
              <w:rPr>
                <w:rFonts w:ascii="Arial" w:cs="Arial" w:eastAsia="Arial" w:hAnsi="Arial"/>
                <w:b/>
                <w:bCs/>
                <w:color w:val="1F4E79"/>
                <w:sz w:val="21"/>
                <w:szCs w:val="21"/>
              </w:rPr>
              <w:t xml:space="preserve">Soru 8 — Beklenen Yanıt (BİY.10.2.8):</w:t>
            </w:r>
          </w:p>
        </w:tc>
      </w:tr>
      <w:tr>
        <w:tc>
          <w:tcPr>
            <w:tcW w:type="dxa" w:w="9360"/>
            <w:tcBorders>
              <w:top w:val="single" w:color="AAAAAA" w:sz="4"/>
              <w:left w:val="single" w:color="AAAAAA" w:sz="4"/>
              <w:bottom w:val="single" w:color="AAAAAA" w:sz="4"/>
              <w:right w:val="single" w:color="AAAAAA" w:sz="4"/>
            </w:tcBorders>
            <w:shd w:fill="FFFFFF" w:val="clear"/>
            <w:tcMar>
              <w:top w:type="dxa" w:w="100"/>
              <w:left w:type="dxa" w:w="180"/>
              <w:bottom w:type="dxa" w:w="100"/>
              <w:right w:type="dxa" w:w="180"/>
            </w:tcMar>
          </w:tcPr>
          <w:p>
            <w:pPr>
              <w:spacing w:after="60" w:before="60"/>
            </w:pPr>
            <w:r>
              <w:rPr>
                <w:rFonts w:ascii="Arial" w:cs="Arial" w:eastAsia="Arial" w:hAnsi="Arial"/>
                <w:color w:val="111111"/>
                <w:sz w:val="21"/>
                <w:szCs w:val="21"/>
              </w:rPr>
              <w:t xml:space="preserve">(a) Akdeniz foku ya da deniz kaplumbağası gibi üst tüketicilerin besin ağından çekilmesi durumunda: Av türleri (balıklar, omurgasızlar) üzerindeki avcılık baskısı kalkar → bu türler geçici olarak aşırı çoğalır → fitoplankton ve deniz yosunu üzerindeki otlama baskısı artar → üretici katmanı zayıflar → fotosentez kapasitesi düşer → O₂ üretimi ve karbon bağlama kapasitesi azalır. Madde döngüsü boyutu: Üst tüketici yokluğunda besin zincirinin tepesinde biriken madde ayrıştırıcılara geçiş hızlanır; bu da ayrışma kaynaklı CO₂ ve besin tuzu salımını artırarak ötrofikasyon riskini yükseltir.</w:t>
            </w:r>
          </w:p>
          <w:p>
            <w:pPr>
              <w:spacing w:after="60" w:before="60"/>
            </w:pPr>
            <w:r>
              <w:rPr>
                <w:rFonts w:ascii="Arial" w:cs="Arial" w:eastAsia="Arial" w:hAnsi="Arial"/>
                <w:color w:val="111111"/>
                <w:sz w:val="21"/>
                <w:szCs w:val="21"/>
              </w:rPr>
              <w:t xml:space="preserve">(b) Ramsar Sözleşmesi kapsamındaki sulak alanlar korunarak; su tutma, karbon depolama (sulak alanlar önemli karbon yutaklarıdır), biyoçeşitlilik barındırma ve besin döngülerini düzenleme işlevleri sürdürülmektedir. Yenilenebilirlik ilkesiyle: Sulak alan ekosistemleri, aşırı insan baskısına maruz kalmadığında kendini yenileyebilir; bu, doğal kaynağın 'sürdürülebilir hız' dahilinde kullanılması anlamına gelir. CITES ise aşırı ticari avcılığı kısıtlayarak popülasyonların taşıma kapasitesi sınırları içinde kalmasını sağlar; böylece türlerin kendi kendini yenilemesi mümkün olur.</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4"/>
              <w:left w:val="single" w:color="AAAAAA" w:sz="4"/>
              <w:bottom w:val="single" w:color="AAAAAA" w:sz="4"/>
              <w:right w:val="single" w:color="AAAAAA" w:sz="4"/>
            </w:tcBorders>
            <w:shd w:fill="D6E4F0" w:val="clear"/>
            <w:tcMar>
              <w:top w:type="dxa" w:w="80"/>
              <w:left w:type="dxa" w:w="160"/>
              <w:bottom w:type="dxa" w:w="80"/>
              <w:right w:type="dxa" w:w="160"/>
            </w:tcMar>
          </w:tcPr>
          <w:p>
            <w:r>
              <w:rPr>
                <w:rFonts w:ascii="Arial" w:cs="Arial" w:eastAsia="Arial" w:hAnsi="Arial"/>
                <w:b/>
                <w:bCs/>
                <w:color w:val="1F4E79"/>
                <w:sz w:val="21"/>
                <w:szCs w:val="21"/>
              </w:rPr>
              <w:t xml:space="preserve">Soru 9 — Beklenen Yanıt (BİY.10.2.9):</w:t>
            </w:r>
          </w:p>
        </w:tc>
      </w:tr>
      <w:tr>
        <w:tc>
          <w:tcPr>
            <w:tcW w:type="dxa" w:w="9360"/>
            <w:tcBorders>
              <w:top w:val="single" w:color="AAAAAA" w:sz="4"/>
              <w:left w:val="single" w:color="AAAAAA" w:sz="4"/>
              <w:bottom w:val="single" w:color="AAAAAA" w:sz="4"/>
              <w:right w:val="single" w:color="AAAAAA" w:sz="4"/>
            </w:tcBorders>
            <w:shd w:fill="FFFFFF" w:val="clear"/>
            <w:tcMar>
              <w:top w:type="dxa" w:w="100"/>
              <w:left w:type="dxa" w:w="180"/>
              <w:bottom w:type="dxa" w:w="100"/>
              <w:right w:type="dxa" w:w="180"/>
            </w:tcMar>
          </w:tcPr>
          <w:p>
            <w:pPr>
              <w:spacing w:after="60" w:before="60"/>
            </w:pPr>
            <w:r>
              <w:rPr>
                <w:rFonts w:ascii="Arial" w:cs="Arial" w:eastAsia="Arial" w:hAnsi="Arial"/>
                <w:color w:val="111111"/>
                <w:sz w:val="21"/>
                <w:szCs w:val="21"/>
              </w:rPr>
              <w:t xml:space="preserve">(a) Plastik atıklar fiziksel ayrışmayla mikroplastiklere (&lt;5 mm) dönüşür ve besin zincirine girer: Fitoplankton/zooplankton → küçük balıklar → büyük balıklar → deniz memelileri/insanlar. Her basamakta mikroplastikler ve bunlara adsorbe olmuş toksik kimyasallar (PCB, DDT artıkları) biyolojik birikim yoluyla konsantre hâle gelir. En üst tüketicide (ör. Akdeniz foku, insan) en yüksek kirletici yükü birikir: bağışıklık baskılanması, hormonal bozukluk ve kanser riskleri gündeme gelir.</w:t>
            </w:r>
          </w:p>
          <w:p>
            <w:pPr>
              <w:spacing w:after="60" w:before="60"/>
            </w:pPr>
            <w:r>
              <w:rPr>
                <w:rFonts w:ascii="Arial" w:cs="Arial" w:eastAsia="Arial" w:hAnsi="Arial"/>
                <w:color w:val="111111"/>
                <w:sz w:val="21"/>
                <w:szCs w:val="21"/>
              </w:rPr>
              <w:t xml:space="preserve">(b) Türkiye'de 'Sıfır Atık' projesi: Geri dönüşüm noktalarıyla plastik atıkların ayrıştırılıp hammadde döngüsüne sokulması, plastiklerin deniz ekosistemlerine ulaşmasını engeller → madde döngülerindeki yapay kirletici yükü azalır → biyolojik birikimin önüne geçilir. Biyoremediasyon uygulamaları: Toprak ve su kaynaklarındaki kimyasal kirleticileri (plastik katkı maddeleri, ağır metaller) parçalayan bakteri, mantar veya bitkiler kullanılarak doğal madde döngüsü yeniden işler hâle getirilir. Her iki uygulama da ekolojik sürdürülebilirliğe katkı sağlar: kirletici yükü azaltılarak ekosistemlerin kendini yenileme kapasitesi korunur. Öğrencinin kendi gözlemine dayalı somut örnek vermesi (ör. okul/mahalle geri dönüşüm kampanyaları) beklenir.</w:t>
            </w:r>
          </w:p>
        </w:tc>
      </w:tr>
    </w:tbl>
    <w:p>
      <w:pPr>
        <w:spacing w:after="0" w:before="100"/>
      </w:pPr>
      <w:r>
        <w:t xml:space="preserve"/>
      </w:r>
    </w:p>
    <w:p>
      <w:pPr>
        <w:spacing w:after="80" w:before="160"/>
        <w:jc w:val="center"/>
      </w:pPr>
      <w:r>
        <w:rPr>
          <w:rFonts w:ascii="Arial" w:cs="Arial" w:eastAsia="Arial" w:hAnsi="Arial"/>
          <w:color w:val="666666"/>
          <w:sz w:val="20"/>
          <w:szCs w:val="20"/>
        </w:rPr>
        <w:t xml:space="preserve">— Senaryo 5 Sonu — Toplam: 9 Soru —</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2026-05-23T18:41:27.769Z</dcterms:created>
  <dcterms:modified xsi:type="dcterms:W3CDTF">2026-05-23T18:41:27.780Z</dcterms:modified>
</cp:coreProperties>
</file>

<file path=docProps/custom.xml><?xml version="1.0" encoding="utf-8"?>
<Properties xmlns="http://schemas.openxmlformats.org/officeDocument/2006/custom-properties" xmlns:vt="http://schemas.openxmlformats.org/officeDocument/2006/docPropsVTypes"/>
</file>