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0"/>
        <w:jc w:val="center"/>
      </w:pPr>
      <w:r>
        <w:rPr>
          <w:rFonts w:ascii="Arial" w:cs="Arial" w:eastAsia="Arial" w:hAnsi="Arial"/>
          <w:b w:val="false"/>
          <w:bCs w:val="false"/>
          <w:i w:val="false"/>
          <w:iCs w:val="false"/>
          <w:color w:val="595959"/>
          <w:sz w:val="20"/>
          <w:szCs w:val="20"/>
        </w:rPr>
        <w:t xml:space="preserve">İstanbul Ataşehir TEB Anadolu Lisesi</w:t>
      </w:r>
    </w:p>
    <w:p>
      <w:pPr>
        <w:spacing w:after="30" w:before="0"/>
        <w:jc w:val="center"/>
      </w:pPr>
      <w:r>
        <w:rPr>
          <w:rFonts w:ascii="Arial" w:cs="Arial" w:eastAsia="Arial" w:hAnsi="Arial"/>
          <w:b/>
          <w:bCs/>
          <w:i w:val="false"/>
          <w:iCs w:val="false"/>
          <w:color w:val="1F4E79"/>
          <w:sz w:val="28"/>
          <w:szCs w:val="28"/>
        </w:rPr>
        <w:t xml:space="preserve">2025-2026 Eğitim Öğretim Yılı 2. Dönem 2. Biyoloji Yazılı Çalışma Soruları</w:t>
      </w:r>
    </w:p>
    <w:p>
      <w:pPr>
        <w:spacing w:after="60" w:before="0"/>
        <w:jc w:val="center"/>
      </w:pPr>
      <w:r>
        <w:rPr>
          <w:rFonts w:ascii="Arial" w:cs="Arial" w:eastAsia="Arial" w:hAnsi="Arial"/>
          <w:b/>
          <w:bCs/>
          <w:i w:val="false"/>
          <w:iCs w:val="false"/>
          <w:color w:val="2E75B6"/>
          <w:sz w:val="24"/>
          <w:szCs w:val="24"/>
        </w:rPr>
        <w:t xml:space="preserve">9. Sınıf • SENARYO 2</w:t>
      </w:r>
    </w:p>
    <w:p>
      <w:pPr>
        <w:pBdr>
          <w:bottom w:val="single" w:color="2E75B6" w:sz="4"/>
        </w:pBdr>
        <w:spacing w:after="60" w:before="60"/>
      </w:pPr>
    </w:p>
    <w:p>
      <w:pPr>
        <w:spacing w:after="60" w:before="6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4873"/>
        <w:gridCol w:w="4873"/>
      </w:tblGrid>
      <w:tr>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Ad Soyad: ......................................................................</w:t>
            </w:r>
          </w:p>
        </w:tc>
        <w:tc>
          <w:tcPr>
            <w:tcW w:type="dxa" w:w="4873"/>
            <w:tcBorders>
              <w:top w:val="none"/>
              <w:left w:val="none"/>
              <w:bottom w:val="none"/>
              <w:right w:val="none"/>
            </w:tcBorders>
            <w:tcMar>
              <w:top w:type="dxa" w:w="60"/>
              <w:left w:type="dxa" w:w="80"/>
              <w:bottom w:type="dxa" w:w="60"/>
              <w:right w:type="dxa" w:w="80"/>
            </w:tcMar>
          </w:tcPr>
          <w:p>
            <w:pPr>
              <w:spacing w:after="60" w:before="0"/>
              <w:jc w:val="left"/>
            </w:pPr>
            <w:r>
              <w:rPr>
                <w:rFonts w:ascii="Arial" w:cs="Arial" w:eastAsia="Arial" w:hAnsi="Arial"/>
                <w:b w:val="false"/>
                <w:bCs w:val="false"/>
                <w:i w:val="false"/>
                <w:iCs w:val="false"/>
                <w:color w:val="000000"/>
                <w:sz w:val="20"/>
                <w:szCs w:val="20"/>
              </w:rPr>
              <w:t xml:space="preserve">Sınıf / No: ....................  Tarih: ......................</w:t>
            </w:r>
          </w:p>
        </w:tc>
      </w:tr>
    </w:tbl>
    <w:p>
      <w:pPr>
        <w:spacing w:after="60" w:before="60"/>
      </w:pPr>
    </w:p>
    <w:p>
      <w:pPr>
        <w:spacing w:after="80" w:before="0"/>
        <w:jc w:val="left"/>
      </w:pPr>
      <w:r>
        <w:rPr>
          <w:rFonts w:ascii="Arial" w:cs="Arial" w:eastAsia="Arial" w:hAnsi="Arial"/>
          <w:b/>
          <w:bCs/>
          <w:i w:val="false"/>
          <w:iCs w:val="false"/>
          <w:color w:val="C00000"/>
          <w:sz w:val="20"/>
          <w:szCs w:val="20"/>
        </w:rPr>
        <w:t xml:space="preserve">Önemli: </w:t>
      </w:r>
      <w:r>
        <w:rPr>
          <w:rFonts w:ascii="Arial" w:cs="Arial" w:eastAsia="Arial" w:hAnsi="Arial"/>
          <w:b w:val="false"/>
          <w:bCs w:val="false"/>
          <w:i w:val="false"/>
          <w:iCs w:val="false"/>
          <w:color w:val="000000"/>
          <w:sz w:val="20"/>
          <w:szCs w:val="20"/>
        </w:rPr>
        <w:t xml:space="preserve">Tüm sorular açık uçlu olup kapsamlı açıklama gerektirir. Her şık 3 puan üzerinden değerlendirilecektir. Toplam puan: 81. Süre: 40 dakika.</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1  </w:t>
            </w:r>
            <w:r>
              <w:rPr>
                <w:rFonts w:ascii="Arial" w:cs="Arial" w:eastAsia="Arial" w:hAnsi="Arial"/>
                <w:b w:val="false"/>
                <w:bCs w:val="false"/>
                <w:i/>
                <w:iCs/>
                <w:color w:val="595959"/>
                <w:sz w:val="20"/>
                <w:szCs w:val="20"/>
              </w:rPr>
              <w:t xml:space="preserve">[Çıktı: BİY.9.2.1 – İnorganik Moleküllerin Önemi]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Aşağıdaki özellikleri inceleyen bir biyolog, suyun canlılar için neden vazgeçilmez olduğunu anlamak amacıyla çeşitli deneyler yapmaktadır: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 Su içindeki tuz, şeker ve amino asitler kolayca çözünüyor.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II: Su yüklendikten sonra sıcaklığı değiştirmek diğer sıvılara göre daha fazla ısı gerektiriyor.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Deney III: 4°C’nin altında oluşan buz, sıvı suyun üstünde yüzüyor.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Deney I’de gözlenen suyun çözücülük özelliği; maddelerin hücreye taşınması ve metabolik tepkimeler açısından ne anlam ifade eder? Suyun polar yapısı ile ilişkilendirerek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Deney II’de suyun yüksek ısı kapasitesi ile canlıların vücut sıcaklığını düzenleme yeteneği arasındaki ilişkiyi açıklayınız. Buözellik olmasa canlılar ne tür sorunlarla karşılaşırdı?</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Deney III’te gözlemlenen bu özellik (buzun su üzerinde yüzmesi) su altındaki ekosistemler açısından ne gibi bir yaşamsal önem taşır? Minerallerin canlılar için sü veüzerinde yüzmesi) inorganik molekül olmasının nedenini de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2  </w:t>
            </w:r>
            <w:r>
              <w:rPr>
                <w:rFonts w:ascii="Arial" w:cs="Arial" w:eastAsia="Arial" w:hAnsi="Arial"/>
                <w:b w:val="false"/>
                <w:bCs w:val="false"/>
                <w:i/>
                <w:iCs/>
                <w:color w:val="595959"/>
                <w:sz w:val="20"/>
                <w:szCs w:val="20"/>
              </w:rPr>
              <w:t xml:space="preserve">[Çıktı: BİY.9.2.2 – Karbohidratlar]</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beslenme uzmanı, hastalarına öğün planları hazırlıyor. Karbohidrat kaynakları incelendiğinde:</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Üzüm şekeri (glikoz): Hücelerin anında kullandığı enerji kaynağı.</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Süt şekeri (laktoz): İki monosakkaridin birleşiminden oluşan disakkarit.</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Patates nişastası: Uzun zincirli glikoz polimeri, sindirimi yavaş.</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Selüloz: Bitki hücre duvarının ana bileşeni, insan tarafından sindirilemiyor.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Laktozun yapısını açıklayınız. Bazı insanlarda laktoz tüketimi sindirim sorunlarına yol açıyor. Bu durumu enzim-substrat ilişkisi açısından değerlendirinüz.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Patates nişastası ile selülozun yapısal benzerlikleri ve farklılıklarını açıklayınız. İkisi de glikoz monomerlerinden oluşmasına karşın neden farklı özelliklere sahiptir?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Glikoz fazla tüketildiğinde vücutta ne olur? Glikojen ve nişasta olarak depolanma sürecini (dehidrasyon tepkimesi) açıklayınız ve bu deponun ne zaman kullanıldığını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3  </w:t>
            </w:r>
            <w:r>
              <w:rPr>
                <w:rFonts w:ascii="Arial" w:cs="Arial" w:eastAsia="Arial" w:hAnsi="Arial"/>
                <w:b w:val="false"/>
                <w:bCs w:val="false"/>
                <w:i/>
                <w:iCs/>
                <w:color w:val="595959"/>
                <w:sz w:val="20"/>
                <w:szCs w:val="20"/>
              </w:rPr>
              <w:t xml:space="preserve">[Çıktı: BİY.9.2.2 – Proteinler ve Enzimler]</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araştırmacı, sindirim sistemiyle ilgili şu gözlemleri yapmıştır: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Mide: pH 2–3 ortamda pepsin enzimi proteinleri sindirir.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İnce bağırsak: pH 7–8 ortamda tripsin enzimi de proteinleri sindirir.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Pepsin, ince bağırsakta; tripsin ise midede etkisizleşir.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Apoenzim + kofaktör = Holoenzim (aktif form).</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Pepsin ve tripsin aynı substratı (protein) yıkmalarına karşın farklı pH değerlerinde aktiftir. Bu durumu aktif merkez ve denatürasyon kavramlarıyla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Apoenzim ve kofaktör kavramlarını tanımlayarak holoenzimin oluşumunu açıklayınız. Vitaminlerin koenzim olması ne anlama gelir? Örnek veriniz.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Proteinlerin yapı taşı olan amino asitlerin genel yapısını açıklayınız. Peptit bağının oluşumu sırasında dehidrasyon tepkimesinin gerçekleşmesinin işlevselliği açısından ne önemi var?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4  </w:t>
            </w:r>
            <w:r>
              <w:rPr>
                <w:rFonts w:ascii="Arial" w:cs="Arial" w:eastAsia="Arial" w:hAnsi="Arial"/>
                <w:b w:val="false"/>
                <w:bCs w:val="false"/>
                <w:i/>
                <w:iCs/>
                <w:color w:val="595959"/>
                <w:sz w:val="20"/>
                <w:szCs w:val="20"/>
              </w:rPr>
              <w:t xml:space="preserve">[Çıktı: BİY.9.2.2 – Lipitler ve Nükleik Asitler]</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biyokimya öğrencisi iki farklı yapıyı inceliyor: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Yapı X: 1 gliserol + 2 yağ asidi + 1 fosfat grubu. Hidrofilik baş, hidrofobik kuyruk.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Yapı Y: Fosfat grubu + beş karbonlu şeker (riboz) + azotlu organik baz (adenin). Polimer oluşturabilir.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Yapı X’in hangi lipit grubu olduğunu belirtiniz. Hücre zarı ile ilişkisini kurunuz: hidrofilik baş ve hidrofobik kuyruğun hüere zarinin çift katmanlı yapısında nasıl dizildiğini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Yapı Y bir nükleotittir. Bu nükleotidin RNA mı yoksa DNA mı oluşturduğunu açıklayınız. DNA ile RNA’yı şeker, baz ve yapı açısından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Trigliserit ile fosfolipidin yapısal farklılığını ve bu farklılığın işlevsel sonuçlarını açıklayınız. Kolesterolün hücre zarındaki rolü nedir?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5  </w:t>
            </w:r>
            <w:r>
              <w:rPr>
                <w:rFonts w:ascii="Arial" w:cs="Arial" w:eastAsia="Arial" w:hAnsi="Arial"/>
                <w:b w:val="false"/>
                <w:bCs w:val="false"/>
                <w:i/>
                <w:iCs/>
                <w:color w:val="595959"/>
                <w:sz w:val="20"/>
                <w:szCs w:val="20"/>
              </w:rPr>
              <w:t xml:space="preserve">[Çıktı: BİY.9.2.3 – Organik Moleküllerin Tayini]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biyoloji öğrencisi, aşağıdaki tablodaki reaktifleri ve gözlenen renkleri kullanarak beş farklı besin örneğini test etmiştir: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 A: Biüret reaktifi → Açık mavi-mor renk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 B: Benedict reaktifi → Kiremit kırmızısı renk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 C: Sudan III boyası → Kırmızı renk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 D: İyot (ßc el) çözeltisi → Mavi-siyah renk</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Örnek E: Biüret + Benedict + Sudan III → Hiçbir renk değişikliği yok</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A, B, C ve D örneklerinde saptanan organik molekülü yazınız. Her biri için reaktifin hangi molekül grubuyla reaksiyona girdiğini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D örneğindeki reaktif olan ücel (lugol) çözeltisinin neden Benedict reaktifinin göstermediği bir yapı olan nişasta’yı saptadığını nişasta ve glikozun kimyasal yapı farkıyla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E örneğinde hiçbir renk değişikliği olmaması ne anlama gelir? Bu sonuç örneğin kesinlikle organik molekül içermediğini kanıtlar mı?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6  </w:t>
            </w:r>
            <w:r>
              <w:rPr>
                <w:rFonts w:ascii="Arial" w:cs="Arial" w:eastAsia="Arial" w:hAnsi="Arial"/>
                <w:b w:val="false"/>
                <w:bCs w:val="false"/>
                <w:i/>
                <w:iCs/>
                <w:color w:val="595959"/>
                <w:sz w:val="20"/>
                <w:szCs w:val="20"/>
              </w:rPr>
              <w:t xml:space="preserve">[Çıktı: BİY.9.2.5 – Hücre Alt Birimleri 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Aşağıda insan pankreas hücresine ait gözlemler yazılmıştır: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Hücrede çok sayıda ribozom taşıyan zarsı kanallar görülüyor.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Sentezlenen sindirim enzimleri özel veziküller içinde paketlenerek hücre dışına gönderiliyor.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Hücrenin enerji ihtiyacı çok yüksek; iç kısımları kıvrımlı yapılar içeren çift zarlı organeller bol miktarda bulunuyor.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Gözlemlerde bahsedilen granüllü endoplazmik retikulum (GER) adıyla bilinen yapının işlevini açıklayınız. Bu yapının sindirim enzimlerinin sentezindeki rolü nedir?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Sindirim enzimlerinin veziküller içinde paketlenerek dışarı gönderilmesinde hangi organel görev alır? Bu organel ile endoplazmik retikulum arasındaki iş birliğini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Çift zarlı, krista yapılı organelin adını ve ana işlevini belirtiniz. Mitokondrinin kendi DNA ve ribozomuna sahip olmasının evrimsel açıdan ne anlama geldiğini yorumlayınız.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7  </w:t>
            </w:r>
            <w:r>
              <w:rPr>
                <w:rFonts w:ascii="Arial" w:cs="Arial" w:eastAsia="Arial" w:hAnsi="Arial"/>
                <w:b w:val="false"/>
                <w:bCs w:val="false"/>
                <w:i/>
                <w:iCs/>
                <w:color w:val="595959"/>
                <w:sz w:val="20"/>
                <w:szCs w:val="20"/>
              </w:rPr>
              <w:t xml:space="preserve">[Çıktı: BİY.9.2.5 – Hücre Alt Birimleri II]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öğrenci çeşitli hücreleri inceleyerek şu notları alıyor: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P: Çekirdek yok, ribozom var, halkasal DNA, hücre duvarı var.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Q: Çekirdek var, mitokondri + kloroplast + büyük merkezi koful var.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Hücre R: Çekirdek var, mitokondri var, sentrozom var, kloroplast yok.</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P, Q ve R hücreleri için prokaryot/ökaryot, bitki/hayvan sınıflandırması yapınız. Her kararınızı en az iki gözleme dayandırınız.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Hücre Q’daki kloroplast ile R’daki mitokondrinin ortak yapısal özelliklerini açıklayınız. Bu iki organelin yarı özerk olması ne anlama gelir?</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Çekirdek zarındaki nüklear porların işlevini açıklayınız. Çekirdekten sitoplazmaya geçen ve sitoplazmadan çekirdeğe giren başlıca molekül türlerini belirtiniz.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8  </w:t>
            </w:r>
            <w:r>
              <w:rPr>
                <w:rFonts w:ascii="Arial" w:cs="Arial" w:eastAsia="Arial" w:hAnsi="Arial"/>
                <w:b w:val="false"/>
                <w:bCs w:val="false"/>
                <w:i/>
                <w:iCs/>
                <w:color w:val="595959"/>
                <w:sz w:val="20"/>
                <w:szCs w:val="20"/>
              </w:rPr>
              <w:t xml:space="preserve">[Çıktı: BİY.9.2.6 – Hücre Zarından Madde Geçişleri 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deney düzeğinde, yarı geçirgen zar ile ayrılmış iki bölme bulunmaktadır: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Sol bölme: %5’lik NaCl çözeltisi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Sağ bölme: %1’lik NaCl çözeltisi</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Bir sülre sonra sol bölmedeki su seviyesi yükselmektedir.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Bu deneyde gerçekleşen madde geçiş türünü (ozmoz) tanımlayınız. Suyun hareket yönünü ve nedenini hipotonik/hipertonik kavramlarıyla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Sol bölme bitkisel bir hücre ise ve sağ bölme ise hayvansal bir hücre ise su alımından sonra her iki hücreye ne olur? Plazmoliz, deplazmoliz ve turgor basıncı kavramlarını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Ozmozda su çözücünün zar proteinlerine ihtiyaç duymasının nedenini açıklayınız. Kanal proteinlerinin (akvaporin) varlığı suyun geçiş hızını nasıl etkiler?</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2E75B6" w:sz="4"/>
              <w:left w:val="single" w:color="2E75B6" w:sz="4"/>
              <w:bottom w:val="single" w:color="2E75B6" w:sz="4"/>
              <w:right w:val="single" w:color="2E75B6" w:sz="4"/>
            </w:tcBorders>
            <w:shd w:fill="EBF3FB" w:val="clear"/>
            <w:tcMar>
              <w:top w:type="dxa" w:w="100"/>
              <w:left w:type="dxa" w:w="160"/>
              <w:bottom w:type="dxa" w:w="100"/>
              <w:right w:type="dxa" w:w="160"/>
            </w:tcMar>
          </w:tcPr>
          <w:p>
            <w:pPr>
              <w:spacing w:after="60" w:before="0"/>
              <w:jc w:val="left"/>
            </w:pPr>
            <w:r>
              <w:rPr>
                <w:rFonts w:ascii="Arial" w:cs="Arial" w:eastAsia="Arial" w:hAnsi="Arial"/>
                <w:b/>
                <w:bCs/>
                <w:i w:val="false"/>
                <w:iCs w:val="false"/>
                <w:color w:val="1F4E79"/>
                <w:sz w:val="22"/>
                <w:szCs w:val="22"/>
              </w:rPr>
              <w:t xml:space="preserve">SORU 9  </w:t>
            </w:r>
            <w:r>
              <w:rPr>
                <w:rFonts w:ascii="Arial" w:cs="Arial" w:eastAsia="Arial" w:hAnsi="Arial"/>
                <w:b w:val="false"/>
                <w:bCs w:val="false"/>
                <w:i/>
                <w:iCs/>
                <w:color w:val="595959"/>
                <w:sz w:val="20"/>
                <w:szCs w:val="20"/>
              </w:rPr>
              <w:t xml:space="preserve">[Çıktı: BİY.9.2.6 – Hücre Zarından Madde Geçişleri II]</w:t>
            </w:r>
          </w:p>
        </w:tc>
      </w:tr>
      <w:tr>
        <w:tc>
          <w:tcPr>
            <w:tcW w:type="dxa" w:w="9746"/>
            <w:tcBorders>
              <w:top w:val="single" w:color="2E75B6" w:sz="4"/>
              <w:left w:val="single" w:color="2E75B6" w:sz="4"/>
              <w:bottom w:val="single" w:color="2E75B6" w:sz="4"/>
              <w:right w:val="single" w:color="2E75B6" w:sz="4"/>
            </w:tcBorders>
            <w:shd w:fill="F9FBFD" w:val="clear"/>
            <w:tcMar>
              <w:top w:type="dxa" w:w="10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SENARYO: Bir bilim insanı, bağırsak epitel hücrelerini incelerken şu gözlemleri yapmıştır: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Glikoz, bağırsak lümeninden hücre içine taşınırken ATP harcanıyor.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Üretilen sindirim enzimleri (protein yapılı) hücre dışına kesecikler aracılığıyla salınıyor.</w:t>
            </w:r>
          </w:p>
        </w:tc>
      </w:tr>
      <w:tr>
        <w:tc>
          <w:tcPr>
            <w:tcW w:type="dxa" w:w="9746"/>
            <w:tcBorders>
              <w:top w:val="single" w:color="2E75B6" w:sz="4"/>
              <w:left w:val="single" w:color="2E75B6" w:sz="4"/>
              <w:bottom w:val="single" w:color="2E75B6" w:sz="4"/>
              <w:right w:val="single" w:color="2E75B6" w:sz="4"/>
            </w:tcBorders>
            <w:shd w:fill="F9FBFD" w:val="clear"/>
            <w:tcMar>
              <w:top w:type="dxa" w:w="20"/>
              <w:left w:type="dxa" w:w="160"/>
              <w:bottom w:type="dxa" w:w="20"/>
              <w:right w:type="dxa" w:w="160"/>
            </w:tcMar>
          </w:tcPr>
          <w:p>
            <w:pPr>
              <w:spacing w:after="60" w:before="0"/>
              <w:jc w:val="left"/>
            </w:pPr>
            <w:r>
              <w:rPr>
                <w:rFonts w:ascii="Arial" w:cs="Arial" w:eastAsia="Arial" w:hAnsi="Arial"/>
                <w:b w:val="false"/>
                <w:bCs w:val="false"/>
                <w:i w:val="false"/>
                <w:iCs w:val="false"/>
                <w:color w:val="000000"/>
                <w:sz w:val="21"/>
                <w:szCs w:val="21"/>
              </w:rPr>
              <w:t xml:space="preserve">• Amip, bakteriyi zar kıvrımlarıyla sardiktan sonra hücre içine alıyor.</w:t>
            </w:r>
          </w:p>
        </w:tc>
      </w:tr>
      <w:tr>
        <w:tc>
          <w:tcPr>
            <w:tcW w:type="dxa" w:w="9746"/>
            <w:tcBorders>
              <w:top w:val="single" w:color="2E75B6" w:sz="4"/>
              <w:left w:val="single" w:color="2E75B6" w:sz="4"/>
              <w:bottom w:val="single" w:color="2E75B6" w:sz="4"/>
              <w:right w:val="single" w:color="2E75B6" w:sz="4"/>
            </w:tcBorders>
            <w:shd w:fill="FFFFFF" w:val="clear"/>
            <w:tcMar>
              <w:top w:type="dxa" w:w="8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a) </w:t>
            </w:r>
            <w:r>
              <w:rPr>
                <w:rFonts w:ascii="Arial" w:cs="Arial" w:eastAsia="Arial" w:hAnsi="Arial"/>
                <w:b w:val="false"/>
                <w:bCs w:val="false"/>
                <w:i w:val="false"/>
                <w:iCs w:val="false"/>
                <w:color w:val="000000"/>
                <w:sz w:val="22"/>
                <w:szCs w:val="22"/>
              </w:rPr>
              <w:t xml:space="preserve">Birinci gözlemdeki glikozun hücre içine alınması aktif taşıma mıdır? Aktif taşımanın pasif taşımadan farkını; enerji kullanımı, taşıyıcı proteinler ve konsantrasyon gradyeni açısından karşılaştırınız.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b) </w:t>
            </w:r>
            <w:r>
              <w:rPr>
                <w:rFonts w:ascii="Arial" w:cs="Arial" w:eastAsia="Arial" w:hAnsi="Arial"/>
                <w:b w:val="false"/>
                <w:bCs w:val="false"/>
                <w:i w:val="false"/>
                <w:iCs w:val="false"/>
                <w:color w:val="000000"/>
                <w:sz w:val="22"/>
                <w:szCs w:val="22"/>
              </w:rPr>
              <w:t xml:space="preserve">İkinci gözlemde sindirim enzimlerinin dışarı atılması hangi mekanizma ile gerçekleşir? Bu süreçte ATP kullanılır mı? Mekanizmayı adımla açıklayınız.</w:t>
            </w:r>
          </w:p>
        </w:tc>
      </w:tr>
      <w:tr>
        <w:tc>
          <w:tcPr>
            <w:tcW w:type="dxa" w:w="9746"/>
            <w:tcBorders>
              <w:top w:val="single" w:color="2E75B6" w:sz="4"/>
              <w:left w:val="single" w:color="2E75B6" w:sz="4"/>
              <w:bottom w:val="single" w:color="2E75B6" w:sz="4"/>
              <w:right w:val="single" w:color="2E75B6" w:sz="4"/>
            </w:tcBorders>
            <w:shd w:fill="FFFFFF" w:val="clear"/>
            <w:tcMar>
              <w:top w:type="dxa" w:w="40"/>
              <w:left w:type="dxa" w:w="200"/>
              <w:bottom w:type="dxa" w:w="40"/>
              <w:right w:type="dxa" w:w="160"/>
            </w:tcMar>
          </w:tcPr>
          <w:p>
            <w:pPr>
              <w:spacing w:after="60" w:before="0"/>
              <w:jc w:val="left"/>
            </w:pPr>
            <w:r>
              <w:rPr>
                <w:rFonts w:ascii="Arial" w:cs="Arial" w:eastAsia="Arial" w:hAnsi="Arial"/>
                <w:b/>
                <w:bCs/>
                <w:i w:val="false"/>
                <w:iCs w:val="false"/>
                <w:color w:val="000000"/>
                <w:sz w:val="22"/>
                <w:szCs w:val="22"/>
              </w:rPr>
              <w:t xml:space="preserve">c) </w:t>
            </w:r>
            <w:r>
              <w:rPr>
                <w:rFonts w:ascii="Arial" w:cs="Arial" w:eastAsia="Arial" w:hAnsi="Arial"/>
                <w:b w:val="false"/>
                <w:bCs w:val="false"/>
                <w:i w:val="false"/>
                <w:iCs w:val="false"/>
                <w:color w:val="000000"/>
                <w:sz w:val="22"/>
                <w:szCs w:val="22"/>
              </w:rPr>
              <w:t xml:space="preserve">Üçüncü gözlemdeki amip beslenmesinde kullanılan mekanizmayı tanımlayınız. Endositozun hangi koşullarda gerçekleştiğini ve bitki hücrelerinde neden gerçekleşemediğini açıklayınız.</w:t>
            </w:r>
          </w:p>
        </w:tc>
      </w:tr>
      <w:tr>
        <w:tc>
          <w:tcPr>
            <w:tcW w:type="dxa" w:w="9746"/>
            <w:tcBorders>
              <w:top w:val="single" w:color="2E75B6" w:sz="4"/>
              <w:left w:val="single" w:color="2E75B6" w:sz="4"/>
              <w:bottom w:val="single" w:color="2E75B6" w:sz="4"/>
              <w:right w:val="single" w:color="2E75B6" w:sz="4"/>
            </w:tcBorders>
            <w:shd w:fill="EBF3FB" w:val="clear"/>
            <w:tcMar>
              <w:top w:type="dxa" w:w="60"/>
              <w:left w:type="dxa" w:w="160"/>
              <w:bottom w:type="dxa" w:w="60"/>
              <w:right w:type="dxa" w:w="160"/>
            </w:tcMar>
          </w:tcPr>
          <w:p>
            <w:pPr>
              <w:spacing w:after="60" w:before="0"/>
              <w:jc w:val="right"/>
            </w:pPr>
            <w:r>
              <w:rPr>
                <w:rFonts w:ascii="Arial" w:cs="Arial" w:eastAsia="Arial" w:hAnsi="Arial"/>
                <w:b w:val="false"/>
                <w:bCs w:val="false"/>
                <w:i/>
                <w:iCs/>
                <w:color w:val="7F7F7F"/>
                <w:sz w:val="18"/>
                <w:szCs w:val="18"/>
              </w:rPr>
              <w:t xml:space="preserve">(× 3 puan)</w:t>
            </w:r>
          </w:p>
        </w:tc>
      </w:tr>
    </w:tbl>
    <w:p>
      <w:pPr>
        <w:spacing w:after="120" w:before="120"/>
      </w:pPr>
    </w:p>
    <w:p>
      <w:pPr>
        <w:spacing w:after="0" w:before="0"/>
      </w:pPr>
      <w:r>
        <w:br w:type="page"/>
      </w:r>
    </w:p>
    <w:p>
      <w:pPr>
        <w:spacing w:after="30" w:before="0"/>
        <w:jc w:val="center"/>
      </w:pPr>
      <w:r>
        <w:rPr>
          <w:rFonts w:ascii="Arial" w:cs="Arial" w:eastAsia="Arial" w:hAnsi="Arial"/>
          <w:b/>
          <w:bCs/>
          <w:i w:val="false"/>
          <w:iCs w:val="false"/>
          <w:color w:val="C00000"/>
          <w:sz w:val="28"/>
          <w:szCs w:val="28"/>
        </w:rPr>
        <w:t xml:space="preserve">CEVAP ANAHTARI</w:t>
      </w:r>
    </w:p>
    <w:p>
      <w:pPr>
        <w:spacing w:after="60" w:before="0"/>
        <w:jc w:val="center"/>
      </w:pPr>
      <w:r>
        <w:rPr>
          <w:rFonts w:ascii="Arial" w:cs="Arial" w:eastAsia="Arial" w:hAnsi="Arial"/>
          <w:b w:val="false"/>
          <w:bCs w:val="false"/>
          <w:i w:val="false"/>
          <w:iCs w:val="false"/>
          <w:color w:val="595959"/>
          <w:sz w:val="22"/>
          <w:szCs w:val="22"/>
        </w:rPr>
        <w:t xml:space="preserve">9. Sınıf • Senaryo 2 • 2025-2026 2. Dönem 2. Yazılı</w:t>
      </w:r>
    </w:p>
    <w:p>
      <w:pPr>
        <w:pBdr>
          <w:bottom w:val="single" w:color="2E75B6" w:sz="4"/>
        </w:pBdr>
        <w:spacing w:after="60" w:before="60"/>
      </w:pPr>
    </w:p>
    <w:p>
      <w:pPr>
        <w:spacing w:after="80" w:before="8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1 – Cevap Anahtarı  </w:t>
            </w:r>
            <w:r>
              <w:rPr>
                <w:rFonts w:ascii="Arial" w:cs="Arial" w:eastAsia="Arial" w:hAnsi="Arial"/>
                <w:b w:val="false"/>
                <w:bCs w:val="false"/>
                <w:i/>
                <w:iCs/>
                <w:color w:val="595959"/>
                <w:sz w:val="19"/>
                <w:szCs w:val="19"/>
              </w:rPr>
              <w:t xml:space="preserve">[BİY.9.2.1]</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Su polar yapısı sayesinde iyonik ve polar maddeleri (mineral tuzları, şekerler, amino asitler) çözer. Bu özellik sayesinde besinlerin hücreye taşınması, enzimatik tepkimelerin gerçekleşmesi ve atıkların uzaklaştırılması mümkün olur; su bu nedenle “evrensel çözücü” olarak adlandırılır.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Suyun yüksek ısı kapasitesi büyük ısı değişimlerine karşın sıcaklığın sabit tutulmasını sağlar; bu olmasaydı ani sıcaklık dalgalanmaları enzimleri denatüre eder ve metabolizma durdu. Terleme yoluyla vücut sıcaklığı düzenlenemezdi.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Buz ısıyı yalitan bir katman oluştururak su altındaki ekosistemi donmaktan korur; canlılar yaşamaya devam eder. Mineraller canlIlar tarafından sentezlenemediği için inorganik sınıftasında yer alır; büyüme, sinir-kas sistemi ve kemik sağlığı gibi işlevler için dışardan alınmalıdır.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2 – Cevap Anahtarı  </w:t>
            </w:r>
            <w:r>
              <w:rPr>
                <w:rFonts w:ascii="Arial" w:cs="Arial" w:eastAsia="Arial" w:hAnsi="Arial"/>
                <w:b w:val="false"/>
                <w:bCs w:val="false"/>
                <w:i/>
                <w:iCs/>
                <w:color w:val="595959"/>
                <w:sz w:val="19"/>
                <w:szCs w:val="19"/>
              </w:rPr>
              <w:t xml:space="preserve">[BİY.9.2.2 – Karbohidratlar]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Laktoz; glikoz + galaktozdan oluşan bir disakkarittir, glikozit bağı ile birleşmiştir. Laktoz intoleransında laktaz enzimi eksiktir; aktif merkez laktozu tanıyıp bağlamadığından laktoz sindirilmeden kalır ve bağırsak bakterileri tarafından fermente edilerek gaz üretimine yol açar.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Her ikisi de glikoz monomerlerinden oluşur; ancak bağ türü farklıdır. Nişastadaki α-glikozit bağları insan sindirim enzimlerince tanınırken selülozdaki β-glikozit bağları tanınmaz. Bu nedenle selüloz insanda sindirilmez fakat lif olarak bağırsak hareketlerini hızlandırır.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Fazla glikoz; dehidrasyon tepkimeleriyle (su açığa çıkar) glikojene (kara ciğer, kas) veya nişastaya (bitkiler) dönüştürülür. Enerji ihtiyacında (egzersiz veya açlık) hidroliz tepkimeleri ile depodan glikoz serbest bırakılır.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3 – Cevap Anahtarı  </w:t>
            </w:r>
            <w:r>
              <w:rPr>
                <w:rFonts w:ascii="Arial" w:cs="Arial" w:eastAsia="Arial" w:hAnsi="Arial"/>
                <w:b w:val="false"/>
                <w:bCs w:val="false"/>
                <w:i/>
                <w:iCs/>
                <w:color w:val="595959"/>
                <w:sz w:val="19"/>
                <w:szCs w:val="19"/>
              </w:rPr>
              <w:t xml:space="preserve">[BİY.9.2.2 – Proteinler ve Enzimler]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Pepsin pH 2-3’te aktif; aktif merkezi asidik ortamda doğru konformasyondadır, tripsin ile substrat bağlanmaz (optimum pH’ uyumsuz). Tripsin ise nötr-bazik pH’da aktiftir; midedeki asidik ortamda aktif merkezi bozulur (denatürasyon). Her enzimin özgül bir optimum pH’sı vardır.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Apoenzim: sadece proteinden oluşan inaktif kısım. Kofaktör: enzime bağlanarak onu aktive eden inorganik (Zn, Fe) ya da organik (koenzim) yapı. Apoenzim + kofaktör → holoenzim (aktif). Vitaminler koenzim veya öncülü olarak enerji metabolizmasındaki enzimleri aktive eder; ör. B grubu vitaminleri.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Amino asitlerde merkezi karbon atomuna amino grubu (-NH₂), karboksil grubu (-COOH), H ve R grubu bağlıdır. Peptit bağı oluşurken bir amino asidin karboksil grubu ile diğerinin amino grubu arasında su çıkışı (dehidrasyon) gerçekleşir; bu bağ polipeptit zincirinin iskeletini oluşturur ve zincirin uzamasını sağlar.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4 – Cevap Anahtarı  </w:t>
            </w:r>
            <w:r>
              <w:rPr>
                <w:rFonts w:ascii="Arial" w:cs="Arial" w:eastAsia="Arial" w:hAnsi="Arial"/>
                <w:b w:val="false"/>
                <w:bCs w:val="false"/>
                <w:i/>
                <w:iCs/>
                <w:color w:val="595959"/>
                <w:sz w:val="19"/>
                <w:szCs w:val="19"/>
              </w:rPr>
              <w:t xml:space="preserve">[BİY.9.2.2 – Lipitler ve Nükleik Asitler]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Yapı X bir fosfolipittir (gliserol + 2 yağ asidi + fosfat). Hücre zarında fosfolipitler çift katman halinde dizilir; hidrofilik başlar suyla temas eden dış kısma (hücre içi ve dış) dönerken hidrofobik kuyruklar birbirine dönerek suya kapalı iç kısmı oluşturur.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Riboz içerdiğinden RNA nükleotididir. DNA: deoksiriboz, bazlar A-T-G-C, çift sarmal. RNA: riboz, bazlar A-U-G-C, tek sarmal. DNA kalıtsal bilgiyi depolarken RNA protein sentezinde aracılık eder.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Trigliserit: 1 gliserol + 3 yağ asidi (ester bağı); uzun süreli enerji deposu. Fosfolipit: 1 gliserol + 2 yağ asidi + fosfat; hücre zarının yapı taşı. Kolesterol: steroit yapılı, hücre zarındaki akışkanlığı sıcaklığa göre ayarlar; yüksek sıcaklıkta fazla akışkanlığı önler, düşük sıcaklıkta sertliği azaltır.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5 – Cevap Anahtarı  </w:t>
            </w:r>
            <w:r>
              <w:rPr>
                <w:rFonts w:ascii="Arial" w:cs="Arial" w:eastAsia="Arial" w:hAnsi="Arial"/>
                <w:b w:val="false"/>
                <w:bCs w:val="false"/>
                <w:i/>
                <w:iCs/>
                <w:color w:val="595959"/>
                <w:sz w:val="19"/>
                <w:szCs w:val="19"/>
              </w:rPr>
              <w:t xml:space="preserve">[BİY.9.2.3]</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A: Biüret → protein. B: Benedict → azaltıcı şeker (glikoz/fruktoz). C: Sudan III → yağ/lipit. D: İyot (lugol) → nişasta (depo polisakkarit). Her reaktif tespit ettiği molekül ile renk kompleksi oluşturarak kimyasal gösterge işlevi görür.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Benedict, azaltma özelliği olan serbest aldehit/keton gruplarına (glikoz, fruktoz) özgüdür. Nişasta polimer yapılı olduğundan bu grubu taşımaz; bu nedenle Benedict ile renk değişmez. İyot ise nişestanın heliks yapısına girerek mavi-siyah renk verir.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Hiçbir renk değişikliği; test edilen üç molekül grubunun (şeker, protein, yağ) saptanamadığını gösterir. Ancak bu mutlak bir kanıt değildir: nükleik asit veya vitamin gibi farklı organik moleküller bulunabilir. Ayrıca konsantrasyon çok düşükse reaktif sonuç vermeyebilir.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6 – Cevap Anahtarı  </w:t>
            </w:r>
            <w:r>
              <w:rPr>
                <w:rFonts w:ascii="Arial" w:cs="Arial" w:eastAsia="Arial" w:hAnsi="Arial"/>
                <w:b w:val="false"/>
                <w:bCs w:val="false"/>
                <w:i/>
                <w:iCs/>
                <w:color w:val="595959"/>
                <w:sz w:val="19"/>
                <w:szCs w:val="19"/>
              </w:rPr>
              <w:t xml:space="preserve">[BİY.9.2.5 – Hücre Alt Birimleri 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Granüllü endoplazmik retikulum (GER): üzerindeki ribozomlar sindirim enzimlerini sentezler, ER lümenine iter; ER “zar fabrikası” görevini de üstlenir. Sentezlenen proteinler veziküller içinde Golgi aygıtına iletilir.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Golgi aygıtı: GER’den gelen vezikülleri alır, içindeki proteinleri işleyerek paketler ve hedef veziküllerle (ekzositoz) hücre dışına gönderir. GER → vezikül → Golgi → vezikül → hücre dışı şeklinde çalışır.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Mitokondri: ATP üretir. Kendi halkasal DNA ve ribozomuna sahip olması endosimbiyotik teoriyi destekler; ilkel ökaryotun bir prokaryotu yutup birlikte evrileştiğini ve mitokondrinin atasal özerk bir bakteri olduğunu öne sürer.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7 – Cevap Anahtarı  </w:t>
            </w:r>
            <w:r>
              <w:rPr>
                <w:rFonts w:ascii="Arial" w:cs="Arial" w:eastAsia="Arial" w:hAnsi="Arial"/>
                <w:b w:val="false"/>
                <w:bCs w:val="false"/>
                <w:i/>
                <w:iCs/>
                <w:color w:val="595959"/>
                <w:sz w:val="19"/>
                <w:szCs w:val="19"/>
              </w:rPr>
              <w:t xml:space="preserve">[BİY.9.2.5 – Hücre Alt Birimleri II]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P: Prokaryot (çekirdek yok, halkasal DNA, hücre duvarı var). Q: Ökaryot-bitki (kloroplast, büyük merkezi koful var). R: Ökaryot-hayvan (sentrozom var, kloroplast yok). Her karar; çekirdek varlığı, özel organellerin varlığı/yokluğu gibi kriter çiftlerine dayandırılmalıdır.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Mitokondri ve kloroplast: her ikisi de çift katlı zarla çevrili, kendi halkasal DNA ve ribozomuna sahip, yarı özerk organellerdir; bölünebilirler. Bu, endosimbiyotik kökeni destekler: mitokondri ata hücre tarafından yutulmuş aerobik bakteri, kloroplast ise fotosentetik siyano bakteri kökenlidir.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Nüklear porlar: sitoplazmadan çekirdeğe → enzimler, proteinler, küçük iyonlar; çekirdekten sitoplazmaya → RNA molekülleri. Bu çift yönlü alışveriş gen ifadesi ve protein sentezi için zorunludur.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8 – Cevap Anahtarı  </w:t>
            </w:r>
            <w:r>
              <w:rPr>
                <w:rFonts w:ascii="Arial" w:cs="Arial" w:eastAsia="Arial" w:hAnsi="Arial"/>
                <w:b w:val="false"/>
                <w:bCs w:val="false"/>
                <w:i/>
                <w:iCs/>
                <w:color w:val="595959"/>
                <w:sz w:val="19"/>
                <w:szCs w:val="19"/>
              </w:rPr>
              <w:t xml:space="preserve">[BİY.9.2.6 – Madde Geçişleri 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Ozmoz: su moleküllerinin yarı geçirgen zardan az yoğun ortamdan (sağ: %1 NaCl, daha fazla su) çok yoğun ortama (sol: %5 NaCl, daha az su) enerji harcamadan geçişidir. Sol bölme hipertonik, sağ bölme hipotonik; su sağdan sola geçer ve sol seviye yükselir.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Bitki hücresi (sol ≈ hipertonik ortamdaymış gibi): su alırsa turgor basıncı artar, hücre duvarı buna direnç gösterir; şişer ama patlamaz. Hayvan hücresi: hücre duvarı yoktur, su alırsa şişer ve patlayabilir (turgor’dan farklı). Plazmoliz: hücre su kaybederek büzüşmesidir; deplazmoliz ise bu hücrenin suya alınarak toparlanmasıdır.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Su polar bir moleküldür ve fosfolipit çift katmanından yavaş geçer. Akvaporin (kanal proteini) su için özelleşmiş porlar açarak geçiş hızını on katı artırabilir; böbrek ve alyuvarlarda önemlidir. Madde hâlâ pasif (ATP gerekmez) ancak çok daha hızlı geçer.</w:t>
            </w:r>
          </w:p>
        </w:tc>
      </w:tr>
    </w:tbl>
    <w:p>
      <w:pPr>
        <w:spacing w:after="100" w:before="100"/>
      </w:pP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9746"/>
      </w:tblGrid>
      <w:tr>
        <w:tc>
          <w:tcPr>
            <w:tcW w:type="dxa" w:w="9746"/>
            <w:tcBorders>
              <w:top w:val="single" w:color="A9C4E0" w:sz="2"/>
              <w:left w:val="single" w:color="A9C4E0" w:sz="2"/>
              <w:bottom w:val="single" w:color="A9C4E0" w:sz="2"/>
              <w:right w:val="single" w:color="A9C4E0" w:sz="2"/>
            </w:tcBorders>
            <w:shd w:fill="D6E4F0" w:val="clear"/>
            <w:tcMar>
              <w:top w:type="dxa" w:w="80"/>
              <w:left w:type="dxa" w:w="160"/>
              <w:bottom w:type="dxa" w:w="80"/>
              <w:right w:type="dxa" w:w="160"/>
            </w:tcMar>
          </w:tcPr>
          <w:p>
            <w:pPr>
              <w:spacing w:after="60" w:before="0"/>
              <w:jc w:val="left"/>
            </w:pPr>
            <w:r>
              <w:rPr>
                <w:rFonts w:ascii="Arial" w:cs="Arial" w:eastAsia="Arial" w:hAnsi="Arial"/>
                <w:b/>
                <w:bCs/>
                <w:i w:val="false"/>
                <w:iCs w:val="false"/>
                <w:color w:val="1F4E79"/>
                <w:sz w:val="21"/>
                <w:szCs w:val="21"/>
              </w:rPr>
              <w:t xml:space="preserve">Soru 9 – Cevap Anahtarı  </w:t>
            </w:r>
            <w:r>
              <w:rPr>
                <w:rFonts w:ascii="Arial" w:cs="Arial" w:eastAsia="Arial" w:hAnsi="Arial"/>
                <w:b w:val="false"/>
                <w:bCs w:val="false"/>
                <w:i/>
                <w:iCs/>
                <w:color w:val="595959"/>
                <w:sz w:val="19"/>
                <w:szCs w:val="19"/>
              </w:rPr>
              <w:t xml:space="preserve">[BİY.9.2.6 – Madde Geçişleri II]</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a) </w:t>
            </w:r>
            <w:r>
              <w:rPr>
                <w:rFonts w:ascii="Arial" w:cs="Arial" w:eastAsia="Arial" w:hAnsi="Arial"/>
                <w:b w:val="false"/>
                <w:bCs w:val="false"/>
                <w:i w:val="false"/>
                <w:iCs w:val="false"/>
                <w:color w:val="000000"/>
                <w:sz w:val="21"/>
                <w:szCs w:val="21"/>
              </w:rPr>
              <w:t xml:space="preserve">Evet, aktif taşımadır: glikoz bağırsak lümeninde düşük yoğunlukta olsa bile hücre içine taşındığından konsantrasyon gradyentine karşı çalışılır ve ATP harcanır; taşıyıcı protein pompası kullanılır. Pasif taşımada ATP gerekmez, gradyent yönünde gerçekleşir, taşıyıcı protein olabilir de olmayabilir de.</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b) </w:t>
            </w:r>
            <w:r>
              <w:rPr>
                <w:rFonts w:ascii="Arial" w:cs="Arial" w:eastAsia="Arial" w:hAnsi="Arial"/>
                <w:b w:val="false"/>
                <w:bCs w:val="false"/>
                <w:i w:val="false"/>
                <w:iCs w:val="false"/>
                <w:color w:val="000000"/>
                <w:sz w:val="21"/>
                <w:szCs w:val="21"/>
              </w:rPr>
              <w:t xml:space="preserve">Ekzositoz: GER’de sentezlenen enzimler → Golgi’de işlenir → vezikül oluşur → vezikül hücre zarıyla birleşir → içerik dışarı salınır. ATP harcanır çünkü zarla birleşme ve içeriğin atılması aktif süreçtir. Hücre zarı yüzeyi bu süreçte büyür.</w:t>
            </w:r>
          </w:p>
        </w:tc>
      </w:tr>
      <w:tr>
        <w:tc>
          <w:tcPr>
            <w:tcW w:type="dxa" w:w="9746"/>
            <w:tcBorders>
              <w:top w:val="single" w:color="A9C4E0" w:sz="2"/>
              <w:left w:val="single" w:color="A9C4E0" w:sz="2"/>
              <w:bottom w:val="single" w:color="A9C4E0" w:sz="2"/>
              <w:right w:val="single" w:color="A9C4E0" w:sz="2"/>
            </w:tcBorders>
            <w:shd w:fill="F4F8FC" w:val="clear"/>
            <w:tcMar>
              <w:top w:type="dxa" w:w="60"/>
              <w:left w:type="dxa" w:w="200"/>
              <w:bottom w:type="dxa" w:w="40"/>
              <w:right w:type="dxa" w:w="160"/>
            </w:tcMar>
          </w:tcPr>
          <w:p>
            <w:pPr>
              <w:spacing w:after="60" w:before="0"/>
              <w:jc w:val="left"/>
            </w:pPr>
            <w:r>
              <w:rPr>
                <w:rFonts w:ascii="Arial" w:cs="Arial" w:eastAsia="Arial" w:hAnsi="Arial"/>
                <w:b/>
                <w:bCs/>
                <w:i w:val="false"/>
                <w:iCs w:val="false"/>
                <w:color w:val="000000"/>
                <w:sz w:val="21"/>
                <w:szCs w:val="21"/>
              </w:rPr>
              <w:t xml:space="preserve">c) </w:t>
            </w:r>
            <w:r>
              <w:rPr>
                <w:rFonts w:ascii="Arial" w:cs="Arial" w:eastAsia="Arial" w:hAnsi="Arial"/>
                <w:b w:val="false"/>
                <w:bCs w:val="false"/>
                <w:i w:val="false"/>
                <w:iCs w:val="false"/>
                <w:color w:val="000000"/>
                <w:sz w:val="21"/>
                <w:szCs w:val="21"/>
              </w:rPr>
              <w:t xml:space="preserve">Fagositoz (endositozun bir türü): amip, hücre zarını bakteri etrafına kıvırarak fagozom (besin kofulu) oluşturur ve hücre içine alır. ATP harcanır; yalnızca canlı hücrelerde gerçekleşir. Bitki hücrelerinde sert hücre duvarı zarın içe doğru kıvrılmasına izin vermediğinden endositoz gerçekleşmez.</w:t>
            </w:r>
          </w:p>
        </w:tc>
      </w:tr>
    </w:tbl>
    <w:p>
      <w:pPr>
        <w:spacing w:after="100" w:before="100"/>
      </w:pPr>
    </w:p>
    <w:sectPr>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2026-05-20T20:29:20.899Z</dcterms:created>
  <dcterms:modified xsi:type="dcterms:W3CDTF">2026-05-20T20:29:20.900Z</dcterms:modified>
</cp:coreProperties>
</file>

<file path=docProps/custom.xml><?xml version="1.0" encoding="utf-8"?>
<Properties xmlns="http://schemas.openxmlformats.org/officeDocument/2006/custom-properties" xmlns:vt="http://schemas.openxmlformats.org/officeDocument/2006/docPropsVTypes"/>
</file>